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59ED" w14:textId="5E82C8F4" w:rsidR="006821CA" w:rsidRPr="004B3684" w:rsidRDefault="006821CA" w:rsidP="004B3684">
      <w:pPr>
        <w:spacing w:line="276" w:lineRule="auto"/>
        <w:rPr>
          <w:b/>
          <w:sz w:val="28"/>
        </w:rPr>
      </w:pPr>
      <w:r w:rsidRPr="004B3684">
        <w:rPr>
          <w:noProof/>
          <w:lang w:val="es-ES" w:eastAsia="ja-JP" w:bidi="th-TH"/>
        </w:rPr>
        <w:drawing>
          <wp:inline distT="0" distB="0" distL="0" distR="0" wp14:anchorId="5A641301" wp14:editId="398FC276">
            <wp:extent cx="2714158" cy="114848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8837" cy="115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DC3AE" w14:textId="77777777" w:rsidR="006821CA" w:rsidRPr="004B3684" w:rsidRDefault="006821CA" w:rsidP="007E5F26">
      <w:pPr>
        <w:pStyle w:val="Title"/>
        <w:rPr>
          <w:rFonts w:ascii="Verdana" w:hAnsi="Verdana"/>
        </w:rPr>
      </w:pPr>
    </w:p>
    <w:p w14:paraId="5F08E16C" w14:textId="77777777" w:rsidR="006821CA" w:rsidRPr="004B3684" w:rsidRDefault="006821CA" w:rsidP="007E5F26">
      <w:pPr>
        <w:pStyle w:val="Title"/>
        <w:rPr>
          <w:rFonts w:ascii="Verdana" w:hAnsi="Verdana"/>
        </w:rPr>
      </w:pPr>
    </w:p>
    <w:p w14:paraId="72BCC5B2" w14:textId="77777777" w:rsidR="006821CA" w:rsidRPr="004B3684" w:rsidRDefault="006821CA" w:rsidP="007E5F26">
      <w:pPr>
        <w:pStyle w:val="Title"/>
        <w:rPr>
          <w:rFonts w:ascii="Verdana" w:hAnsi="Verdana"/>
        </w:rPr>
      </w:pPr>
    </w:p>
    <w:p w14:paraId="43BA83CB" w14:textId="7BA06C4B" w:rsidR="006821CA" w:rsidRPr="0020374D" w:rsidRDefault="006821CA" w:rsidP="007E5F26">
      <w:pPr>
        <w:pStyle w:val="Title"/>
      </w:pPr>
      <w:r>
        <w:t>Guia para Instituições de Países Parceiros</w:t>
      </w:r>
    </w:p>
    <w:p w14:paraId="655EE37A" w14:textId="11D7EEAA" w:rsidR="006821CA" w:rsidRPr="004B3684" w:rsidRDefault="006821CA" w:rsidP="004B3684">
      <w:pPr>
        <w:spacing w:line="276" w:lineRule="auto"/>
        <w:rPr>
          <w:rStyle w:val="Emphasis"/>
          <w:i w:val="0"/>
        </w:rPr>
      </w:pPr>
      <w:r>
        <w:rPr>
          <w:rStyle w:val="Emphasis"/>
        </w:rPr>
        <w:t xml:space="preserve">Versão 07.07.2017 </w:t>
      </w:r>
    </w:p>
    <w:p w14:paraId="0449AC45" w14:textId="77777777" w:rsidR="006821CA" w:rsidRPr="0052406B" w:rsidRDefault="006821CA" w:rsidP="004B3684">
      <w:pPr>
        <w:spacing w:line="276" w:lineRule="auto"/>
        <w:rPr>
          <w:rStyle w:val="Emphasis"/>
        </w:rPr>
      </w:pPr>
    </w:p>
    <w:p w14:paraId="3A3DD627" w14:textId="77777777" w:rsidR="006821CA" w:rsidRPr="0052406B" w:rsidRDefault="006821CA" w:rsidP="004B3684">
      <w:pPr>
        <w:spacing w:line="276" w:lineRule="auto"/>
        <w:rPr>
          <w:rStyle w:val="Emphasis"/>
        </w:rPr>
      </w:pPr>
    </w:p>
    <w:p w14:paraId="4017B6E0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68CF8637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7C5CD9D2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111D586F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2DD659A4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1339AEB7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26F0568F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6D3568A4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34FC3A5D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4B57D315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0349A98B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3BF9F5F7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7F5DCE9C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4CCC2B43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4FA47517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732CE5B1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1C74BE8D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45BED574" w14:textId="77777777" w:rsidR="002E7E6C" w:rsidRPr="0052406B" w:rsidRDefault="002E7E6C" w:rsidP="004B3684">
      <w:pPr>
        <w:spacing w:line="276" w:lineRule="auto"/>
        <w:rPr>
          <w:rStyle w:val="Emphasis"/>
        </w:rPr>
      </w:pPr>
    </w:p>
    <w:p w14:paraId="450F9FC1" w14:textId="375CE222" w:rsidR="002E7E6C" w:rsidRPr="0052406B" w:rsidRDefault="002E7E6C" w:rsidP="004B3684">
      <w:pPr>
        <w:spacing w:line="276" w:lineRule="auto"/>
        <w:rPr>
          <w:rStyle w:val="Emphasis"/>
        </w:rPr>
      </w:pPr>
    </w:p>
    <w:p w14:paraId="03707613" w14:textId="015BF903" w:rsidR="002E7E6C" w:rsidRPr="0052406B" w:rsidRDefault="002E7E6C" w:rsidP="004B3684">
      <w:pPr>
        <w:spacing w:line="276" w:lineRule="auto"/>
        <w:rPr>
          <w:rStyle w:val="Emphasis"/>
        </w:rPr>
      </w:pPr>
      <w:r w:rsidRPr="004B3684">
        <w:rPr>
          <w:noProof/>
          <w:lang w:val="es-ES" w:eastAsia="ja-JP" w:bidi="th-TH"/>
        </w:rPr>
        <w:drawing>
          <wp:anchor distT="0" distB="0" distL="114300" distR="114300" simplePos="0" relativeHeight="251659264" behindDoc="0" locked="0" layoutInCell="1" allowOverlap="1" wp14:anchorId="2CD857F3" wp14:editId="311774F0">
            <wp:simplePos x="0" y="0"/>
            <wp:positionH relativeFrom="column">
              <wp:posOffset>64135</wp:posOffset>
            </wp:positionH>
            <wp:positionV relativeFrom="paragraph">
              <wp:posOffset>1033754</wp:posOffset>
            </wp:positionV>
            <wp:extent cx="5936615" cy="1284605"/>
            <wp:effectExtent l="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4DBD" w14:textId="77777777" w:rsidR="007E5F26" w:rsidRPr="0052406B" w:rsidRDefault="007E5F26" w:rsidP="00242DB8">
      <w:pPr>
        <w:sectPr w:rsidR="007E5F26" w:rsidRPr="0052406B" w:rsidSect="002B4F54">
          <w:headerReference w:type="default" r:id="rId13"/>
          <w:footerReference w:type="default" r:id="rId14"/>
          <w:pgSz w:w="11900" w:h="16840"/>
          <w:pgMar w:top="1418" w:right="1077" w:bottom="1077" w:left="1077" w:header="794" w:footer="720" w:gutter="0"/>
          <w:cols w:space="720"/>
          <w:titlePg/>
          <w:docGrid w:linePitch="326"/>
        </w:sectPr>
      </w:pPr>
    </w:p>
    <w:p w14:paraId="55E5D732" w14:textId="77777777" w:rsidR="0052406B" w:rsidRPr="0052406B" w:rsidRDefault="0052406B" w:rsidP="0052406B">
      <w:pPr>
        <w:shd w:val="clear" w:color="auto" w:fill="F2F2F2" w:themeFill="background1" w:themeFillShade="F2"/>
        <w:spacing w:after="120" w:line="276" w:lineRule="auto"/>
        <w:ind w:left="576"/>
        <w:outlineLvl w:val="1"/>
        <w:rPr>
          <w:rFonts w:eastAsia="Times New Roman" w:cs="Arial"/>
          <w:b/>
          <w:i/>
          <w:sz w:val="22"/>
          <w:szCs w:val="22"/>
        </w:rPr>
      </w:pPr>
      <w:bookmarkStart w:id="0" w:name="_Toc486862864"/>
      <w:bookmarkStart w:id="1" w:name="_Toc492548717"/>
      <w:bookmarkStart w:id="2" w:name="_Toc473704014"/>
      <w:bookmarkStart w:id="3" w:name="_Toc475382085"/>
      <w:bookmarkStart w:id="4" w:name="_Toc482199232"/>
      <w:r>
        <w:rPr>
          <w:b/>
          <w:i/>
          <w:sz w:val="22"/>
          <w:szCs w:val="22"/>
        </w:rPr>
        <w:lastRenderedPageBreak/>
        <w:t>Sobre o SOCIEUX+</w:t>
      </w:r>
      <w:bookmarkEnd w:id="0"/>
      <w:bookmarkEnd w:id="1"/>
    </w:p>
    <w:p w14:paraId="6D7D84C2" w14:textId="77777777" w:rsidR="0052406B" w:rsidRPr="0052406B" w:rsidRDefault="0052406B" w:rsidP="00AB6E4C">
      <w:pPr>
        <w:pStyle w:val="TEXTE"/>
      </w:pPr>
      <w:r>
        <w:t xml:space="preserve">A União Europeia (UE) promove e mantém o diálogo sobre a proteção social e as políticas de emprego inclusivas com um número crescente de países parceiros. Este esforço foi confirmado na Comunicação da Comissão Europeia (CE) COM(2016) 740 final - “Proposal for a new European Consensus on Development Our World, our Dignity, our Future” (Proposta para um novo Consenso Europeu sobre o Desenvolvimento - O Nosso Mundo, a Nossa Dignidade, o Nosso Futuro). Um número significativo de atividades de cooperação em diferentes países relacionadas com estes campos é financiado por instrumentos geográficos e temáticos. No entanto, observou-se uma lacuna na cooperação da UE com países terceiros no que diz respeito a prestar apoio a medidas de curto prazo e cooperação entre pares para promover o desenvolvimento da proteção social. </w:t>
      </w:r>
    </w:p>
    <w:p w14:paraId="035B0064" w14:textId="5CA43C16" w:rsidR="0052406B" w:rsidRPr="0052406B" w:rsidRDefault="0052406B" w:rsidP="00AB6E4C">
      <w:pPr>
        <w:pStyle w:val="TEXTE"/>
      </w:pPr>
      <w:r>
        <w:t>SOCIEUX+ - Iniciativa da UE para a Proteção Social, Trabalho e Emprego</w:t>
      </w:r>
      <w:r>
        <w:rPr>
          <w:rFonts w:ascii="Calibri" w:hAnsi="Calibri"/>
          <w:i/>
        </w:rPr>
        <w:t xml:space="preserve"> </w:t>
      </w:r>
      <w:r>
        <w:t>é um</w:t>
      </w:r>
      <w:r w:rsidR="00005B7F">
        <w:t>a facilidade</w:t>
      </w:r>
      <w:r>
        <w:t xml:space="preserve"> de assistência técnica estabelecido e cofinanciado pela UE (através da Direção-Geral da Cooperação Internacional e do Desenvolvimento - EuropeAid - da CE), França, Espanha e Bélgica e implementado por uma parceria constituída por quatro parceiros: Expertise France, líder da Parceria de implementação, a Fundação Internacional e Ibero-americana de Administração e Políticas Públicas (FIIAPP), Belgian International Cooperation on Social Protection</w:t>
      </w:r>
      <w:r>
        <w:rPr>
          <w:b/>
          <w:bCs/>
          <w:sz w:val="20"/>
        </w:rPr>
        <w:t xml:space="preserve"> </w:t>
      </w:r>
      <w:r>
        <w:t>(BELINCOSOC) e a Belgium Technical Cooperation (BTC).</w:t>
      </w:r>
    </w:p>
    <w:p w14:paraId="552A9DD2" w14:textId="2315D502" w:rsidR="0052406B" w:rsidRPr="0052406B" w:rsidRDefault="0052406B" w:rsidP="00AB6E4C">
      <w:pPr>
        <w:pStyle w:val="TEXTE"/>
      </w:pPr>
      <w:r>
        <w:t>O objetivo geral d</w:t>
      </w:r>
      <w:r w:rsidR="00005B7F">
        <w:t>a</w:t>
      </w:r>
      <w:r>
        <w:t xml:space="preserve"> </w:t>
      </w:r>
      <w:r w:rsidR="00005B7F">
        <w:t xml:space="preserve">Facilidade </w:t>
      </w:r>
      <w:r>
        <w:t xml:space="preserve">é expandir e melhorar o acesso a melhores oportunidades de emprego e sistemas de proteção social inclusivos nos países parceiros. </w:t>
      </w:r>
    </w:p>
    <w:p w14:paraId="5EF5628B" w14:textId="77777777" w:rsidR="0052406B" w:rsidRPr="0052406B" w:rsidRDefault="0052406B" w:rsidP="00AB6E4C">
      <w:pPr>
        <w:pStyle w:val="TEXTE"/>
      </w:pPr>
      <w:r>
        <w:t>O objetivo específico é o de reforçar as capacidades dos países parceiros para melhor conceber, gerir e controlar estratégias de emprego e sistemas de proteção social inclusivos, eficazes e sustentáveis, através da assistência técnica e do desenvolvimento de conhecimento entre pares a curto prazo.</w:t>
      </w:r>
    </w:p>
    <w:p w14:paraId="06D265DC" w14:textId="1799749D" w:rsidR="0052406B" w:rsidRPr="0052406B" w:rsidRDefault="0052406B" w:rsidP="00AB6E4C">
      <w:pPr>
        <w:pStyle w:val="TEXTE"/>
      </w:pPr>
      <w:r>
        <w:t xml:space="preserve">O SOCIEUX+ apoia os esforços dos Países Parceiros (PP) da UE na reforma, no desenvolvimento e na ampliação dos seus sistemas de proteção social e no reforço das políticas de trabalho e emprego. </w:t>
      </w:r>
      <w:r w:rsidR="00005B7F">
        <w:t>A Facilidade</w:t>
      </w:r>
      <w:r>
        <w:t xml:space="preserve"> destina-se a reforçar as capacidades dos países parceiros para melhor conceber, gerir e controlar estratégias de emprego e sistemas de proteção social inclusivos, eficazes e sustentáveis, através da assistência técnica e do desenvolvimento de conhecimento entre pares a curto prazo. SOCIEUX+:</w:t>
      </w:r>
    </w:p>
    <w:p w14:paraId="509A69F5" w14:textId="77777777" w:rsidR="0052406B" w:rsidRPr="0052406B" w:rsidRDefault="0052406B" w:rsidP="00AB6E4C">
      <w:pPr>
        <w:pStyle w:val="TEXTE"/>
        <w:numPr>
          <w:ilvl w:val="0"/>
          <w:numId w:val="14"/>
        </w:numPr>
        <w:rPr>
          <w:rFonts w:eastAsia="Times New Roman"/>
        </w:rPr>
      </w:pPr>
      <w:r>
        <w:t xml:space="preserve">reconhece o impacto da proteção social e do emprego na redução da pobreza e da vulnerabilidade; </w:t>
      </w:r>
    </w:p>
    <w:p w14:paraId="4EDFCF51" w14:textId="77777777" w:rsidR="0052406B" w:rsidRPr="0052406B" w:rsidRDefault="0052406B" w:rsidP="00AB6E4C">
      <w:pPr>
        <w:pStyle w:val="TEXTE"/>
        <w:numPr>
          <w:ilvl w:val="0"/>
          <w:numId w:val="14"/>
        </w:numPr>
        <w:rPr>
          <w:rFonts w:eastAsia="Times New Roman"/>
        </w:rPr>
      </w:pPr>
      <w:r>
        <w:t>apoia os esforços dos governos parceiros na promoção de sistemas de proteção social e emprego inclusivos e sustentáveis;</w:t>
      </w:r>
    </w:p>
    <w:p w14:paraId="7B21452B" w14:textId="77777777" w:rsidR="0052406B" w:rsidRPr="0052406B" w:rsidRDefault="0052406B" w:rsidP="00AB6E4C">
      <w:pPr>
        <w:pStyle w:val="TEXTE"/>
        <w:numPr>
          <w:ilvl w:val="0"/>
          <w:numId w:val="14"/>
        </w:numPr>
        <w:rPr>
          <w:rFonts w:eastAsia="Times New Roman"/>
        </w:rPr>
      </w:pPr>
      <w:r>
        <w:t>complementa os esforços realizados por outras iniciativas da União Europeia.</w:t>
      </w:r>
    </w:p>
    <w:p w14:paraId="46676E4B" w14:textId="042DE623" w:rsidR="0052406B" w:rsidRPr="0052406B" w:rsidRDefault="0052406B" w:rsidP="00AB6E4C">
      <w:pPr>
        <w:pStyle w:val="TEXTE"/>
      </w:pPr>
      <w:r>
        <w:t xml:space="preserve">SOCIEUX+ torna o conhecimento da União Europeia rapidamente disponível com custos de transação mínimos para instituições parceiras. Inspira-se no conhecimento de organismos públicos ou mandatados, organizações não governamentais e organizações importantes da sociedade civil dos Estados-Membros da UE e organizações internacionais especializadas. Também pode apoiar a cooperação Sul-Sul e triangular através da mobilização de profissionais de países parceiros. SOCIEUX+ está operacional desde setembro de 2016. </w:t>
      </w:r>
    </w:p>
    <w:p w14:paraId="08FF0DD7" w14:textId="0ECA2E68" w:rsidR="0052406B" w:rsidRPr="0052406B" w:rsidRDefault="00005B7F" w:rsidP="00AB6E4C">
      <w:pPr>
        <w:pStyle w:val="TEXTE"/>
      </w:pPr>
      <w:r>
        <w:t>A Facilidade</w:t>
      </w:r>
      <w:r w:rsidR="0052406B">
        <w:t xml:space="preserve"> é uma expansão d</w:t>
      </w:r>
      <w:r>
        <w:t>e</w:t>
      </w:r>
      <w:r w:rsidR="0052406B">
        <w:t xml:space="preserve"> SOCIEUX - Iniciativa da União Europeia para a Proteção Social para a Cooperação e o Desenvolvimento -, que foi estabelecid</w:t>
      </w:r>
      <w:r>
        <w:t>a</w:t>
      </w:r>
      <w:r w:rsidR="0052406B">
        <w:t xml:space="preserve"> em 2013 e instituído progressivamente.</w:t>
      </w:r>
    </w:p>
    <w:p w14:paraId="2DB39BA1" w14:textId="77777777" w:rsidR="00961A2E" w:rsidRPr="006E1925" w:rsidRDefault="00961A2E" w:rsidP="004B3684"/>
    <w:p w14:paraId="04E38B0E" w14:textId="77777777" w:rsidR="00961A2E" w:rsidRPr="00C232E8" w:rsidRDefault="00961A2E" w:rsidP="00C232E8">
      <w:pPr>
        <w:shd w:val="clear" w:color="auto" w:fill="F2F2F2" w:themeFill="background1" w:themeFillShade="F2"/>
        <w:spacing w:after="120" w:line="276" w:lineRule="auto"/>
        <w:ind w:left="576"/>
        <w:outlineLvl w:val="1"/>
        <w:rPr>
          <w:rFonts w:eastAsia="Times New Roman" w:cs="Arial"/>
          <w:b/>
          <w:i/>
          <w:sz w:val="22"/>
          <w:szCs w:val="22"/>
        </w:rPr>
      </w:pPr>
      <w:bookmarkStart w:id="5" w:name="_Toc486862865"/>
      <w:bookmarkStart w:id="6" w:name="_Toc492548718"/>
      <w:r>
        <w:rPr>
          <w:b/>
          <w:i/>
          <w:sz w:val="22"/>
          <w:szCs w:val="22"/>
        </w:rPr>
        <w:t>Objetivo do Guia</w:t>
      </w:r>
      <w:bookmarkEnd w:id="5"/>
      <w:bookmarkEnd w:id="6"/>
    </w:p>
    <w:p w14:paraId="285A55C1" w14:textId="7D63059F" w:rsidR="001840BC" w:rsidRPr="004B3684" w:rsidRDefault="00961A2E" w:rsidP="00AB6E4C">
      <w:pPr>
        <w:pStyle w:val="TEXTE"/>
      </w:pPr>
      <w:r>
        <w:t>O Guia para Instituições Parceiras fornece informações sobre SOCIEUX+. Abrange os seguintes aspetos do programa:</w:t>
      </w:r>
    </w:p>
    <w:p w14:paraId="2C989366" w14:textId="5ADBADA8" w:rsidR="003E3CA7" w:rsidRPr="004B3684" w:rsidRDefault="00961A2E" w:rsidP="00C173E3">
      <w:pPr>
        <w:pStyle w:val="TEXTE"/>
        <w:numPr>
          <w:ilvl w:val="0"/>
          <w:numId w:val="21"/>
        </w:numPr>
        <w:spacing w:after="0"/>
        <w:ind w:left="1434" w:hanging="357"/>
      </w:pPr>
      <w:r>
        <w:t>o funcionamento d</w:t>
      </w:r>
      <w:r w:rsidR="00005B7F">
        <w:t>a Facilidade</w:t>
      </w:r>
      <w:r>
        <w:t>;</w:t>
      </w:r>
    </w:p>
    <w:p w14:paraId="745B7210" w14:textId="38A1DA7A" w:rsidR="003E3CA7" w:rsidRPr="004B3684" w:rsidRDefault="005F41F4" w:rsidP="00C173E3">
      <w:pPr>
        <w:pStyle w:val="TEXTE"/>
        <w:numPr>
          <w:ilvl w:val="0"/>
          <w:numId w:val="21"/>
        </w:numPr>
        <w:spacing w:after="0"/>
        <w:ind w:left="1434" w:hanging="357"/>
      </w:pPr>
      <w:r>
        <w:t xml:space="preserve">o âmbito de intervenção </w:t>
      </w:r>
      <w:r w:rsidR="00005B7F">
        <w:t>da Facilidade</w:t>
      </w:r>
      <w:r>
        <w:t>nos campos da proteção social, trabalho e emprego;</w:t>
      </w:r>
    </w:p>
    <w:p w14:paraId="7333D0FC" w14:textId="77777777" w:rsidR="003E3CA7" w:rsidRPr="004B3684" w:rsidRDefault="00961A2E" w:rsidP="00C173E3">
      <w:pPr>
        <w:pStyle w:val="TEXTE"/>
        <w:numPr>
          <w:ilvl w:val="0"/>
          <w:numId w:val="21"/>
        </w:numPr>
        <w:spacing w:after="0"/>
        <w:ind w:left="1434" w:hanging="357"/>
      </w:pPr>
      <w:r>
        <w:t>os diferentes tipos de intervenções possíveis;</w:t>
      </w:r>
    </w:p>
    <w:p w14:paraId="25E55972" w14:textId="6E41C38E" w:rsidR="003E3CA7" w:rsidRPr="004B3684" w:rsidRDefault="007B5120" w:rsidP="00C173E3">
      <w:pPr>
        <w:pStyle w:val="TEXTE"/>
        <w:numPr>
          <w:ilvl w:val="0"/>
          <w:numId w:val="21"/>
        </w:numPr>
        <w:spacing w:after="0"/>
        <w:ind w:left="1434" w:hanging="357"/>
      </w:pPr>
      <w:r>
        <w:t>o processo de apresentação de candidatura que as instituições parceiras (IP) têm de seguir para solicitar ajuda ao abrigo do SOCIEUX+;</w:t>
      </w:r>
    </w:p>
    <w:p w14:paraId="6AA534AA" w14:textId="77777777" w:rsidR="00961A2E" w:rsidRPr="004B3684" w:rsidRDefault="007B5120" w:rsidP="00C173E3">
      <w:pPr>
        <w:pStyle w:val="TEXTE"/>
        <w:numPr>
          <w:ilvl w:val="0"/>
          <w:numId w:val="21"/>
        </w:numPr>
        <w:spacing w:after="0"/>
        <w:ind w:left="1434" w:hanging="357"/>
      </w:pPr>
      <w:r>
        <w:t>os aspetos financeiros e logísticos da organização de Ações e Atividades.</w:t>
      </w:r>
    </w:p>
    <w:p w14:paraId="5EE25E2F" w14:textId="77777777" w:rsidR="003E3CA7" w:rsidRPr="006E1925" w:rsidRDefault="003E3CA7">
      <w:pPr>
        <w:spacing w:after="120" w:line="276" w:lineRule="auto"/>
        <w:jc w:val="center"/>
        <w:rPr>
          <w:rFonts w:eastAsia="Calibri" w:cs="Arial"/>
          <w:b/>
          <w:color w:val="000000" w:themeColor="text1"/>
          <w:sz w:val="22"/>
          <w:szCs w:val="22"/>
        </w:rPr>
      </w:pPr>
    </w:p>
    <w:p w14:paraId="1E546278" w14:textId="77777777" w:rsidR="00C21E6D" w:rsidRPr="009B0965" w:rsidRDefault="00C21E6D" w:rsidP="004B3684">
      <w:pPr>
        <w:spacing w:after="120"/>
        <w:ind w:left="720"/>
        <w:rPr>
          <w:szCs w:val="18"/>
        </w:rPr>
      </w:pPr>
      <w:r>
        <w:br w:type="page"/>
      </w:r>
    </w:p>
    <w:bookmarkEnd w:id="2"/>
    <w:bookmarkEnd w:id="3"/>
    <w:bookmarkEnd w:id="4"/>
    <w:p w14:paraId="0585C899" w14:textId="6F69A9EF" w:rsidR="00D27279" w:rsidRDefault="00D27279">
      <w:pPr>
        <w:pStyle w:val="TOCHeading"/>
      </w:pPr>
    </w:p>
    <w:sdt>
      <w:sdtPr>
        <w:id w:val="281507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CB4CED" w14:textId="02515711" w:rsidR="00353BAA" w:rsidRPr="00D27279" w:rsidRDefault="000F3698" w:rsidP="00D27279">
          <w:pPr>
            <w:rPr>
              <w:rStyle w:val="Heading4Char"/>
              <w:sz w:val="28"/>
              <w:szCs w:val="28"/>
            </w:rPr>
          </w:pPr>
          <w:r>
            <w:rPr>
              <w:rStyle w:val="Heading4Char"/>
              <w:sz w:val="28"/>
              <w:szCs w:val="28"/>
            </w:rPr>
            <w:t>Índice</w:t>
          </w:r>
        </w:p>
        <w:p w14:paraId="127CE19C" w14:textId="226B7DAD" w:rsidR="006E1925" w:rsidRDefault="00353BAA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r w:rsidRPr="000F3698">
            <w:fldChar w:fldCharType="begin"/>
          </w:r>
          <w:r w:rsidRPr="000F3698">
            <w:instrText xml:space="preserve"> TOC \o "1-3" \h \z \u </w:instrText>
          </w:r>
          <w:r w:rsidRPr="000F3698">
            <w:fldChar w:fldCharType="separate"/>
          </w:r>
          <w:hyperlink w:anchor="_Toc492548717" w:history="1">
            <w:r w:rsidR="006E1925" w:rsidRPr="00ED02DC">
              <w:rPr>
                <w:rStyle w:val="Hyperlink"/>
                <w:noProof/>
              </w:rPr>
              <w:t>Sobre o SOCIEUX+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_Toc492548717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2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5BE7CE3A" w14:textId="040D308D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18" w:history="1">
            <w:r w:rsidR="006E1925" w:rsidRPr="00ED02DC">
              <w:rPr>
                <w:rStyle w:val="Hyperlink"/>
                <w:noProof/>
              </w:rPr>
              <w:t>Objetivo do Guia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_Toc492548718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2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66DF6105" w14:textId="485692AC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19" w:history="1">
            <w:r w:rsidR="006E1925" w:rsidRPr="00ED02DC">
              <w:rPr>
                <w:rStyle w:val="Hyperlink"/>
                <w:noProof/>
              </w:rPr>
              <w:t>Definição e acrónimos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_Toc492548719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4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2299EC29" w14:textId="76B9EAD4" w:rsidR="006E1925" w:rsidRDefault="00F51A9E">
          <w:pPr>
            <w:pStyle w:val="TOC1"/>
            <w:tabs>
              <w:tab w:val="left" w:pos="360"/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20" w:history="1">
            <w:r w:rsidR="006E1925" w:rsidRPr="00ED02DC">
              <w:rPr>
                <w:rStyle w:val="Hyperlink"/>
                <w:noProof/>
              </w:rPr>
              <w:t>1</w:t>
            </w:r>
            <w:r w:rsidR="006E1925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val="es-ES" w:eastAsia="ja-JP" w:bidi="th-TH"/>
              </w:rPr>
              <w:tab/>
            </w:r>
            <w:r w:rsidR="006E1925" w:rsidRPr="00ED02DC">
              <w:rPr>
                <w:rStyle w:val="Hyperlink"/>
                <w:noProof/>
              </w:rPr>
              <w:t>O que é SOCIEUX+?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_Toc492548720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5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0605B797" w14:textId="601790FC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21" w:history="1">
            <w:r w:rsidR="006E1925" w:rsidRPr="00ED02DC">
              <w:rPr>
                <w:rStyle w:val="Hyperlink"/>
                <w:noProof/>
              </w:rPr>
              <w:t>SOCIEUX+ resumidamente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_Toc492548721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5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2460D567" w14:textId="777DF0AA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22" w:history="1">
            <w:r w:rsidR="006E1925" w:rsidRPr="00ED02DC">
              <w:rPr>
                <w:rStyle w:val="Hyperlink"/>
                <w:noProof/>
              </w:rPr>
              <w:t>Ações do SOCIEUX+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_Toc492548722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5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31E79714" w14:textId="252B20EB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23" w:history="1">
            <w:r w:rsidR="006E1925" w:rsidRPr="00ED02DC">
              <w:rPr>
                <w:rStyle w:val="Hyperlink"/>
                <w:noProof/>
              </w:rPr>
              <w:t>Instituições e países parceiros do SOCIEUX+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_Toc492548723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6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1C9B98C2" w14:textId="1752A6BE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24" w:history="1">
            <w:r w:rsidR="006E1925" w:rsidRPr="00ED02DC">
              <w:rPr>
                <w:rStyle w:val="Hyperlink"/>
                <w:noProof/>
              </w:rPr>
              <w:t>Áreas de assistência técnica do SOCIEUX+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_Toc492548724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6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184010B0" w14:textId="678B5C47" w:rsidR="006E1925" w:rsidRDefault="00F51A9E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25" w:history="1">
            <w:r w:rsidR="006E1925" w:rsidRPr="00ED02DC">
              <w:rPr>
                <w:rStyle w:val="Hyperlink"/>
                <w:noProof/>
              </w:rPr>
              <w:t>Trabalho e emprego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_Toc492548725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6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6CCCEAFB" w14:textId="503DA55F" w:rsidR="006E1925" w:rsidRDefault="00F51A9E">
          <w:pPr>
            <w:pStyle w:val="TOC3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26" w:history="1">
            <w:r w:rsidR="006E1925" w:rsidRPr="00ED02DC">
              <w:rPr>
                <w:rStyle w:val="Hyperlink"/>
                <w:noProof/>
              </w:rPr>
              <w:t>Proteção social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_Toc492548726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6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0C5F7E1F" w14:textId="195AD331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27" w:history="1">
            <w:r w:rsidR="006E1925" w:rsidRPr="00ED02DC">
              <w:rPr>
                <w:rStyle w:val="Hyperlink"/>
                <w:noProof/>
              </w:rPr>
              <w:t>Princípios de cooperação do SOCIEUX+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_Toc492548727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7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46762422" w14:textId="75A42BD6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28" w:history="1">
            <w:r w:rsidR="006E1925" w:rsidRPr="00ED02DC">
              <w:rPr>
                <w:rStyle w:val="Hyperlink"/>
                <w:noProof/>
              </w:rPr>
              <w:t>Conhecimentos mobilizados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_Toc492548728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7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3D550105" w14:textId="7DA1F059" w:rsidR="006E1925" w:rsidRDefault="00F51A9E">
          <w:pPr>
            <w:pStyle w:val="TOC1"/>
            <w:tabs>
              <w:tab w:val="left" w:pos="360"/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29" w:history="1">
            <w:r w:rsidR="006E1925" w:rsidRPr="00ED02DC">
              <w:rPr>
                <w:rStyle w:val="Hyperlink"/>
                <w:noProof/>
              </w:rPr>
              <w:t>2</w:t>
            </w:r>
            <w:r w:rsidR="006E1925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val="es-ES" w:eastAsia="ja-JP" w:bidi="th-TH"/>
              </w:rPr>
              <w:tab/>
            </w:r>
            <w:r w:rsidR="006E1925" w:rsidRPr="00ED02DC">
              <w:rPr>
                <w:rStyle w:val="Hyperlink"/>
                <w:noProof/>
              </w:rPr>
              <w:t>Como funciona o SOCIEUX+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_Toc492548729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9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01150066" w14:textId="769A0E61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30" w:history="1">
            <w:r w:rsidR="006E1925" w:rsidRPr="00ED02DC">
              <w:rPr>
                <w:rStyle w:val="Hyperlink"/>
                <w:noProof/>
              </w:rPr>
              <w:t>COMO SE CANDIDATAR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_Toc492548730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9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1DBD0BE5" w14:textId="14962401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31" w:history="1">
            <w:r w:rsidR="006E1925" w:rsidRPr="00ED02DC">
              <w:rPr>
                <w:rStyle w:val="Hyperlink"/>
                <w:noProof/>
              </w:rPr>
              <w:t>CRITÉRIOS DE AVALIAÇÃO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_Toc492548731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9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787E0490" w14:textId="273C1469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32" w:history="1">
            <w:r w:rsidR="006E1925" w:rsidRPr="00ED02DC">
              <w:rPr>
                <w:rStyle w:val="Hyperlink"/>
                <w:noProof/>
              </w:rPr>
              <w:t>Aprovação do pedido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_Toc492548732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10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158212BF" w14:textId="52306269" w:rsidR="006E1925" w:rsidRDefault="00F51A9E">
          <w:pPr>
            <w:pStyle w:val="TOC1"/>
            <w:tabs>
              <w:tab w:val="left" w:pos="360"/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33" w:history="1">
            <w:r w:rsidR="006E1925" w:rsidRPr="00ED02DC">
              <w:rPr>
                <w:rStyle w:val="Hyperlink"/>
                <w:noProof/>
              </w:rPr>
              <w:t>3</w:t>
            </w:r>
            <w:r w:rsidR="006E1925">
              <w:rPr>
                <w:rFonts w:asciiTheme="minorHAnsi" w:eastAsiaTheme="minorEastAsia" w:hAnsiTheme="minorHAnsi" w:cstheme="minorBidi"/>
                <w:noProof/>
                <w:sz w:val="22"/>
                <w:szCs w:val="28"/>
                <w:lang w:val="es-ES" w:eastAsia="ja-JP" w:bidi="th-TH"/>
              </w:rPr>
              <w:tab/>
            </w:r>
            <w:r w:rsidR="006E1925" w:rsidRPr="00ED02DC">
              <w:rPr>
                <w:rStyle w:val="Hyperlink"/>
                <w:noProof/>
              </w:rPr>
              <w:t>Finanças e logística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_Toc492548733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10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3A15E003" w14:textId="7A5A1049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34" w:history="1">
            <w:r w:rsidR="006E1925" w:rsidRPr="00ED02DC">
              <w:rPr>
                <w:rStyle w:val="Hyperlink"/>
                <w:noProof/>
              </w:rPr>
              <w:t>Custos abrangidos pelo SOCIEUX+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_Toc492548734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10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743F9686" w14:textId="1350784D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35" w:history="1">
            <w:r w:rsidR="006E1925" w:rsidRPr="00ED02DC">
              <w:rPr>
                <w:rStyle w:val="Hyperlink"/>
                <w:noProof/>
              </w:rPr>
              <w:t>Envolvimento da instituição parceira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_Toc492548735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10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467E7ECD" w14:textId="51EE2517" w:rsidR="006E1925" w:rsidRDefault="00F51A9E">
          <w:pPr>
            <w:pStyle w:val="TOC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sz w:val="22"/>
              <w:szCs w:val="28"/>
              <w:lang w:val="es-ES" w:eastAsia="ja-JP" w:bidi="th-TH"/>
            </w:rPr>
          </w:pPr>
          <w:hyperlink w:anchor="_Toc492548736" w:history="1">
            <w:r w:rsidR="006E1925" w:rsidRPr="00ED02DC">
              <w:rPr>
                <w:rStyle w:val="Hyperlink"/>
                <w:noProof/>
              </w:rPr>
              <w:t>Anexo 1. Lista de países elegíveis ao abrigo do SOCIEUX+</w:t>
            </w:r>
            <w:r w:rsidR="006E1925">
              <w:rPr>
                <w:noProof/>
                <w:webHidden/>
              </w:rPr>
              <w:tab/>
            </w:r>
            <w:r w:rsidR="006E1925">
              <w:rPr>
                <w:noProof/>
                <w:webHidden/>
              </w:rPr>
              <w:fldChar w:fldCharType="begin"/>
            </w:r>
            <w:r w:rsidR="006E1925">
              <w:rPr>
                <w:noProof/>
                <w:webHidden/>
              </w:rPr>
              <w:instrText xml:space="preserve"> PAGEREF _Toc492548736 \h </w:instrText>
            </w:r>
            <w:r w:rsidR="006E1925">
              <w:rPr>
                <w:noProof/>
                <w:webHidden/>
              </w:rPr>
            </w:r>
            <w:r w:rsidR="006E1925">
              <w:rPr>
                <w:noProof/>
                <w:webHidden/>
              </w:rPr>
              <w:fldChar w:fldCharType="separate"/>
            </w:r>
            <w:r w:rsidR="006E1925">
              <w:rPr>
                <w:noProof/>
                <w:webHidden/>
              </w:rPr>
              <w:t>11</w:t>
            </w:r>
            <w:r w:rsidR="006E1925">
              <w:rPr>
                <w:noProof/>
                <w:webHidden/>
              </w:rPr>
              <w:fldChar w:fldCharType="end"/>
            </w:r>
          </w:hyperlink>
        </w:p>
        <w:p w14:paraId="2552E9AE" w14:textId="01A783EE" w:rsidR="00353BAA" w:rsidRDefault="00353BAA">
          <w:r w:rsidRPr="000F3698">
            <w:rPr>
              <w:bCs/>
            </w:rPr>
            <w:fldChar w:fldCharType="end"/>
          </w:r>
        </w:p>
      </w:sdtContent>
    </w:sdt>
    <w:p w14:paraId="5BE71FE4" w14:textId="734BCEE1" w:rsidR="004B3684" w:rsidRDefault="004B3684">
      <w:pPr>
        <w:rPr>
          <w:rFonts w:eastAsia="Times New Roman" w:cs="Arial"/>
          <w:b/>
          <w:i/>
          <w:sz w:val="22"/>
          <w:szCs w:val="22"/>
          <w:lang w:val="en-GB"/>
        </w:rPr>
      </w:pPr>
    </w:p>
    <w:p w14:paraId="09B6CD16" w14:textId="2944EA68" w:rsidR="000F3698" w:rsidRDefault="000F3698">
      <w:r>
        <w:br w:type="page"/>
      </w:r>
    </w:p>
    <w:p w14:paraId="116510CE" w14:textId="77777777" w:rsidR="000F3698" w:rsidRPr="000F3698" w:rsidRDefault="000F3698" w:rsidP="000F3698">
      <w:pPr>
        <w:pStyle w:val="Heading2"/>
      </w:pPr>
      <w:bookmarkStart w:id="7" w:name="_Toc486863049"/>
      <w:bookmarkStart w:id="8" w:name="_Toc492548719"/>
      <w:r>
        <w:t>Definição e acrónimos</w:t>
      </w:r>
      <w:bookmarkEnd w:id="7"/>
      <w:bookmarkEnd w:id="8"/>
      <w:r>
        <w:t xml:space="preserve"> </w:t>
      </w:r>
    </w:p>
    <w:p w14:paraId="53E16747" w14:textId="77777777" w:rsidR="00951916" w:rsidRPr="0052406B" w:rsidRDefault="00951916" w:rsidP="004B3684"/>
    <w:tbl>
      <w:tblPr>
        <w:tblStyle w:val="GridTable4"/>
        <w:tblpPr w:leftFromText="141" w:rightFromText="141" w:vertAnchor="text" w:horzAnchor="margin" w:tblpY="269"/>
        <w:tblW w:w="4902" w:type="pct"/>
        <w:tblLook w:val="04A0" w:firstRow="1" w:lastRow="0" w:firstColumn="1" w:lastColumn="0" w:noHBand="0" w:noVBand="1"/>
      </w:tblPr>
      <w:tblGrid>
        <w:gridCol w:w="3365"/>
        <w:gridCol w:w="187"/>
        <w:gridCol w:w="5987"/>
      </w:tblGrid>
      <w:tr w:rsidR="00597643" w:rsidRPr="0052406B" w14:paraId="7B1F569D" w14:textId="77777777" w:rsidTr="00597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pct"/>
            <w:gridSpan w:val="2"/>
          </w:tcPr>
          <w:p w14:paraId="27E81FC0" w14:textId="3994FDF6" w:rsidR="00597643" w:rsidRPr="0052406B" w:rsidRDefault="00597643" w:rsidP="00597643">
            <w:pPr>
              <w:ind w:left="318"/>
            </w:pPr>
            <w:r>
              <w:t>Termo/acrónimo</w:t>
            </w:r>
          </w:p>
        </w:tc>
        <w:tc>
          <w:tcPr>
            <w:tcW w:w="3138" w:type="pct"/>
          </w:tcPr>
          <w:p w14:paraId="0F16DCBF" w14:textId="44AC39DC" w:rsidR="00597643" w:rsidRPr="0052406B" w:rsidRDefault="00597643" w:rsidP="009F44E0">
            <w:pPr>
              <w:ind w:left="-1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Definição</w:t>
            </w:r>
          </w:p>
        </w:tc>
      </w:tr>
      <w:tr w:rsidR="00951916" w:rsidRPr="0052406B" w14:paraId="04E0D205" w14:textId="77777777" w:rsidTr="00242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  <w:hideMark/>
          </w:tcPr>
          <w:p w14:paraId="29BEDCA7" w14:textId="77777777" w:rsidR="00951916" w:rsidRPr="0052406B" w:rsidRDefault="00951916" w:rsidP="00242DB8">
            <w:pPr>
              <w:ind w:left="318"/>
            </w:pPr>
            <w:r>
              <w:t>Ação</w:t>
            </w:r>
          </w:p>
        </w:tc>
        <w:tc>
          <w:tcPr>
            <w:tcW w:w="3236" w:type="pct"/>
            <w:gridSpan w:val="2"/>
          </w:tcPr>
          <w:p w14:paraId="680AE42F" w14:textId="2AFE59B1" w:rsidR="008D7450" w:rsidRPr="0052406B" w:rsidRDefault="00005B7F" w:rsidP="00242DB8">
            <w:pPr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Projetos </w:t>
            </w:r>
            <w:r w:rsidR="009F44E0">
              <w:t>a curto prazo preparadas e implementadas como uma resposta a solicitações e necessidades específicas de instituições parceiras/países parceiros. Uma ação é composta, regra geral, por diversas atividades interligadas.</w:t>
            </w:r>
          </w:p>
        </w:tc>
      </w:tr>
      <w:tr w:rsidR="00951916" w:rsidRPr="0052406B" w14:paraId="30C29C19" w14:textId="77777777" w:rsidTr="00242DB8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  <w:hideMark/>
          </w:tcPr>
          <w:p w14:paraId="3FE5AF5B" w14:textId="77777777" w:rsidR="00951916" w:rsidRPr="0052406B" w:rsidRDefault="00951916" w:rsidP="00242DB8">
            <w:pPr>
              <w:ind w:left="318"/>
            </w:pPr>
            <w:r>
              <w:t>Atividade</w:t>
            </w:r>
          </w:p>
        </w:tc>
        <w:tc>
          <w:tcPr>
            <w:tcW w:w="3236" w:type="pct"/>
            <w:gridSpan w:val="2"/>
            <w:hideMark/>
          </w:tcPr>
          <w:p w14:paraId="69850FF8" w14:textId="7FC74C1D" w:rsidR="008D7450" w:rsidRPr="0052406B" w:rsidRDefault="009F44E0" w:rsidP="00242DB8">
            <w:pPr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Uma medida de assistência técnica que faz parte de uma ação. </w:t>
            </w:r>
          </w:p>
        </w:tc>
      </w:tr>
      <w:tr w:rsidR="009F44E0" w:rsidRPr="0052406B" w14:paraId="4B3B3461" w14:textId="77777777" w:rsidTr="0059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</w:tcPr>
          <w:p w14:paraId="2209AA7B" w14:textId="2405B895" w:rsidR="009F44E0" w:rsidRPr="0052406B" w:rsidRDefault="009F44E0" w:rsidP="00597643">
            <w:pPr>
              <w:ind w:left="318"/>
              <w:rPr>
                <w:b w:val="0"/>
              </w:rPr>
            </w:pPr>
            <w:r>
              <w:t>Perito</w:t>
            </w:r>
            <w:r>
              <w:rPr>
                <w:b w:val="0"/>
              </w:rPr>
              <w:t xml:space="preserve"> </w:t>
            </w:r>
            <w:r>
              <w:t>(Privado)</w:t>
            </w:r>
          </w:p>
        </w:tc>
        <w:tc>
          <w:tcPr>
            <w:tcW w:w="3236" w:type="pct"/>
            <w:gridSpan w:val="2"/>
          </w:tcPr>
          <w:p w14:paraId="67DE038D" w14:textId="7C400D12" w:rsidR="009F44E0" w:rsidRPr="0052406B" w:rsidRDefault="001B770B" w:rsidP="00597643">
            <w:pPr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Consultor privado </w:t>
            </w:r>
          </w:p>
        </w:tc>
      </w:tr>
      <w:tr w:rsidR="00C73358" w:rsidRPr="0052406B" w14:paraId="1AA91FB9" w14:textId="77777777" w:rsidTr="0059764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</w:tcPr>
          <w:p w14:paraId="2DC85159" w14:textId="66D23A4E" w:rsidR="00C73358" w:rsidRPr="0052406B" w:rsidRDefault="009F44E0" w:rsidP="00597643">
            <w:pPr>
              <w:ind w:left="318"/>
            </w:pPr>
            <w:r>
              <w:t>Perito (Público)</w:t>
            </w:r>
          </w:p>
        </w:tc>
        <w:tc>
          <w:tcPr>
            <w:tcW w:w="3236" w:type="pct"/>
            <w:gridSpan w:val="2"/>
          </w:tcPr>
          <w:p w14:paraId="78E5959A" w14:textId="0A042D01" w:rsidR="00C73358" w:rsidRPr="0052406B" w:rsidRDefault="007115C8" w:rsidP="001B770B">
            <w:pPr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Profissionais (incluindo peritos reformados) das administrações públicas e organismos mandatados, e das organizações internacionais, universidades, parceiros sociais, sociedade civil. </w:t>
            </w:r>
          </w:p>
        </w:tc>
      </w:tr>
      <w:tr w:rsidR="00951916" w:rsidRPr="0052406B" w14:paraId="5DAF62E9" w14:textId="77777777" w:rsidTr="00242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  <w:tcBorders>
              <w:bottom w:val="single" w:sz="4" w:space="0" w:color="auto"/>
            </w:tcBorders>
          </w:tcPr>
          <w:p w14:paraId="34EB405A" w14:textId="6A862160" w:rsidR="00951916" w:rsidRPr="0052406B" w:rsidRDefault="00597643" w:rsidP="00242DB8">
            <w:pPr>
              <w:ind w:left="318"/>
            </w:pPr>
            <w:r>
              <w:t>SAF</w:t>
            </w:r>
          </w:p>
          <w:p w14:paraId="25D22233" w14:textId="4E58DFAF" w:rsidR="00951916" w:rsidRPr="0052406B" w:rsidRDefault="00951916" w:rsidP="00242DB8">
            <w:pPr>
              <w:ind w:left="318"/>
            </w:pPr>
          </w:p>
        </w:tc>
        <w:tc>
          <w:tcPr>
            <w:tcW w:w="3236" w:type="pct"/>
            <w:gridSpan w:val="2"/>
            <w:tcBorders>
              <w:bottom w:val="single" w:sz="4" w:space="0" w:color="auto"/>
            </w:tcBorders>
            <w:hideMark/>
          </w:tcPr>
          <w:p w14:paraId="74117B2D" w14:textId="3D0CA806" w:rsidR="00951916" w:rsidRPr="0052406B" w:rsidRDefault="00951916" w:rsidP="00242DB8">
            <w:pPr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9" w:name="_Toc467160891"/>
            <w:r>
              <w:t xml:space="preserve">Um Subsídio Fixo Adicional (SFA) é uma compensação para </w:t>
            </w:r>
            <w:r>
              <w:rPr>
                <w:rStyle w:val="Emphasis"/>
              </w:rPr>
              <w:t xml:space="preserve">peritos públicos </w:t>
            </w:r>
            <w:r>
              <w:t xml:space="preserve">ou respetivas instituições de origem por dia de trabalho e dia de viagem efetivo para peritos públicos (incluindo peritos reformados), permitida pela estrutura legal do seu </w:t>
            </w:r>
            <w:bookmarkEnd w:id="9"/>
            <w:r>
              <w:t>país de residência.</w:t>
            </w:r>
          </w:p>
        </w:tc>
      </w:tr>
      <w:tr w:rsidR="00597643" w:rsidRPr="0052406B" w14:paraId="12ACEFAC" w14:textId="77777777" w:rsidTr="00C73358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  <w:tcBorders>
              <w:top w:val="single" w:sz="4" w:space="0" w:color="auto"/>
            </w:tcBorders>
          </w:tcPr>
          <w:p w14:paraId="2D056E67" w14:textId="18F0713F" w:rsidR="00597643" w:rsidRPr="0052406B" w:rsidRDefault="00597643" w:rsidP="00597643">
            <w:pPr>
              <w:ind w:left="318"/>
            </w:pPr>
            <w:r>
              <w:t>Honorários</w:t>
            </w:r>
          </w:p>
        </w:tc>
        <w:tc>
          <w:tcPr>
            <w:tcW w:w="3236" w:type="pct"/>
            <w:gridSpan w:val="2"/>
            <w:tcBorders>
              <w:top w:val="single" w:sz="4" w:space="0" w:color="auto"/>
            </w:tcBorders>
          </w:tcPr>
          <w:p w14:paraId="446931EB" w14:textId="2C08E27D" w:rsidR="00597643" w:rsidRPr="0052406B" w:rsidRDefault="00597643" w:rsidP="00597643">
            <w:pPr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remuneração dos </w:t>
            </w:r>
            <w:r>
              <w:rPr>
                <w:rStyle w:val="Emphasis"/>
              </w:rPr>
              <w:t>peritos privados e independentes</w:t>
            </w:r>
            <w:r>
              <w:t xml:space="preserve"> é calculada com base numa tarifa diária definida de acordo com o número de anos de experiência profissional relevante.</w:t>
            </w:r>
          </w:p>
        </w:tc>
      </w:tr>
      <w:tr w:rsidR="007E5F26" w:rsidRPr="0052406B" w14:paraId="1D5E9BEA" w14:textId="77777777" w:rsidTr="00242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</w:tcPr>
          <w:p w14:paraId="5316A8F1" w14:textId="77777777" w:rsidR="007E5F26" w:rsidRPr="0052406B" w:rsidRDefault="007E5F26" w:rsidP="00242DB8">
            <w:pPr>
              <w:ind w:left="318"/>
            </w:pPr>
            <w:r>
              <w:t>Missão</w:t>
            </w:r>
          </w:p>
          <w:p w14:paraId="034EA466" w14:textId="5B353F73" w:rsidR="007E5F26" w:rsidRPr="0052406B" w:rsidRDefault="007E5F26" w:rsidP="00242DB8">
            <w:pPr>
              <w:ind w:left="318"/>
            </w:pPr>
          </w:p>
        </w:tc>
        <w:tc>
          <w:tcPr>
            <w:tcW w:w="3236" w:type="pct"/>
            <w:gridSpan w:val="2"/>
          </w:tcPr>
          <w:p w14:paraId="7B058224" w14:textId="5922BB56" w:rsidR="007E5F26" w:rsidRPr="0052406B" w:rsidRDefault="007E5F26" w:rsidP="00242DB8">
            <w:pPr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Prestação de serviços ou assistir a um evento no âmbito de ações/atividades, que ocorre fora do local de afetação normal do perito.</w:t>
            </w:r>
          </w:p>
        </w:tc>
      </w:tr>
      <w:tr w:rsidR="007E5F26" w:rsidRPr="0052406B" w14:paraId="37D5539E" w14:textId="77777777" w:rsidTr="00242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</w:tcPr>
          <w:p w14:paraId="3A99CCFA" w14:textId="2479C08A" w:rsidR="007E5F26" w:rsidRPr="0052406B" w:rsidRDefault="007E5F26" w:rsidP="00242DB8">
            <w:pPr>
              <w:ind w:left="310"/>
            </w:pPr>
            <w:r>
              <w:t xml:space="preserve">País parceiro </w:t>
            </w:r>
          </w:p>
        </w:tc>
        <w:tc>
          <w:tcPr>
            <w:tcW w:w="3236" w:type="pct"/>
            <w:gridSpan w:val="2"/>
            <w:hideMark/>
          </w:tcPr>
          <w:p w14:paraId="39597474" w14:textId="7AC3A148" w:rsidR="007E5F26" w:rsidRPr="0052406B" w:rsidRDefault="00597643" w:rsidP="00242DB8">
            <w:pPr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Um país elegível no qual SOCIEUX+ colabora com uma instituição local através da mobilização de assistência técnica. </w:t>
            </w:r>
          </w:p>
        </w:tc>
      </w:tr>
      <w:tr w:rsidR="007E5F26" w:rsidRPr="0052406B" w14:paraId="04A96FCC" w14:textId="77777777" w:rsidTr="00242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</w:tcPr>
          <w:p w14:paraId="0AAC7E47" w14:textId="73FA7692" w:rsidR="007E5F26" w:rsidRPr="0052406B" w:rsidRDefault="007E5F26" w:rsidP="00242DB8">
            <w:pPr>
              <w:ind w:left="318"/>
            </w:pPr>
            <w:r>
              <w:t>Instituição parceira</w:t>
            </w:r>
          </w:p>
        </w:tc>
        <w:tc>
          <w:tcPr>
            <w:tcW w:w="3236" w:type="pct"/>
            <w:gridSpan w:val="2"/>
          </w:tcPr>
          <w:p w14:paraId="239ACCA4" w14:textId="3E0F3A06" w:rsidR="007E5F26" w:rsidRPr="0052406B" w:rsidRDefault="00D3021F" w:rsidP="00242DB8">
            <w:pPr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Uma instituição num país parceiro para a qual o SOCIEUX+ mobilizou peritos no âmbito de uma ação de assistência técnica. </w:t>
            </w:r>
          </w:p>
        </w:tc>
      </w:tr>
      <w:tr w:rsidR="007E5F26" w:rsidRPr="0052406B" w14:paraId="350AB3CE" w14:textId="77777777" w:rsidTr="00242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  <w:hideMark/>
          </w:tcPr>
          <w:p w14:paraId="73328BC5" w14:textId="076E1FAF" w:rsidR="007E5F26" w:rsidRPr="0052406B" w:rsidRDefault="007E5F26" w:rsidP="00242DB8">
            <w:pPr>
              <w:ind w:left="318"/>
            </w:pPr>
            <w:r>
              <w:t>Ajudas de custo</w:t>
            </w:r>
          </w:p>
        </w:tc>
        <w:tc>
          <w:tcPr>
            <w:tcW w:w="3236" w:type="pct"/>
            <w:gridSpan w:val="2"/>
          </w:tcPr>
          <w:p w14:paraId="40165D6B" w14:textId="6E50FBE6" w:rsidR="007E5F26" w:rsidRPr="0052406B" w:rsidRDefault="007E5F26" w:rsidP="006E1925">
            <w:pPr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Um subsídio/contrapartida diário fixo que se destina a cobrir as despesas de deslocação incorridas pelos peritos mobilizados durante a atividade/missão/evento, tais como despesas de alojamento, refeições, transporte local e despesas diversas. </w:t>
            </w:r>
          </w:p>
        </w:tc>
      </w:tr>
      <w:tr w:rsidR="00D3021F" w:rsidRPr="0052406B" w14:paraId="5ABC5B3E" w14:textId="77777777" w:rsidTr="0059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</w:tcPr>
          <w:p w14:paraId="6F69B914" w14:textId="5A4928D1" w:rsidR="00D3021F" w:rsidRPr="0052406B" w:rsidRDefault="00D3021F" w:rsidP="00D3021F">
            <w:pPr>
              <w:ind w:left="318"/>
              <w:rPr>
                <w:b w:val="0"/>
              </w:rPr>
            </w:pPr>
            <w:r>
              <w:t>Assistência técnica</w:t>
            </w:r>
          </w:p>
        </w:tc>
        <w:tc>
          <w:tcPr>
            <w:tcW w:w="3236" w:type="pct"/>
            <w:gridSpan w:val="2"/>
          </w:tcPr>
          <w:p w14:paraId="45EE1C31" w14:textId="22AE4D3F" w:rsidR="00D3021F" w:rsidRPr="0052406B" w:rsidRDefault="00D3021F" w:rsidP="006E1925">
            <w:pPr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Assistência não financeira prestada pelos peritos/especialistas/profissionais numa determinada área técnica. Pode assumir a forma, entre outras, de partilha de informações e conhecimentos, especialização profissional, transferência de conhecimento técnico, e pode também envolver a transferência de dados técnicos.</w:t>
            </w:r>
          </w:p>
        </w:tc>
      </w:tr>
      <w:tr w:rsidR="007E5F26" w:rsidRPr="0052406B" w14:paraId="66BE7401" w14:textId="77777777" w:rsidTr="00242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  <w:hideMark/>
          </w:tcPr>
          <w:p w14:paraId="76A0A8D2" w14:textId="33DC9872" w:rsidR="007E5F26" w:rsidRPr="0052406B" w:rsidRDefault="007E5F26" w:rsidP="00242DB8">
            <w:pPr>
              <w:ind w:left="318"/>
            </w:pPr>
            <w:r>
              <w:t>ToREx</w:t>
            </w:r>
          </w:p>
        </w:tc>
        <w:tc>
          <w:tcPr>
            <w:tcW w:w="3236" w:type="pct"/>
            <w:gridSpan w:val="2"/>
          </w:tcPr>
          <w:p w14:paraId="28BC9C21" w14:textId="2D5A985F" w:rsidR="007E5F26" w:rsidRPr="0052406B" w:rsidRDefault="007E5F26" w:rsidP="00A878E9">
            <w:pPr>
              <w:ind w:left="720" w:hanging="6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 Termos de Referência para Peritos (</w:t>
            </w:r>
            <w:r w:rsidR="00BE5DA2">
              <w:t xml:space="preserve">“Terms of Reference for Experts”, </w:t>
            </w:r>
            <w:r>
              <w:t>ToREx) descrevem os objetivos, a filosofia, a área e a natureza da assistência pedida, o âmbito e nível de conhecimento exigidos, o calendário provisório, bem como os resultados a atingir e as atividades a serem implementadas.</w:t>
            </w:r>
          </w:p>
        </w:tc>
      </w:tr>
    </w:tbl>
    <w:p w14:paraId="2EAECAE5" w14:textId="77777777" w:rsidR="000F26C4" w:rsidRPr="0052406B" w:rsidRDefault="000F26C4" w:rsidP="00242DB8"/>
    <w:p w14:paraId="6358E46E" w14:textId="157BB1CE" w:rsidR="000F26C4" w:rsidRPr="004B3684" w:rsidRDefault="00700CA1" w:rsidP="000F3698">
      <w:pPr>
        <w:pStyle w:val="Heading1"/>
      </w:pPr>
      <w:r>
        <w:br w:type="page"/>
      </w:r>
      <w:bookmarkStart w:id="10" w:name="_Toc486862867"/>
      <w:bookmarkStart w:id="11" w:name="_Toc492548720"/>
      <w:r>
        <w:t>O que é SOCIEUX+?</w:t>
      </w:r>
      <w:bookmarkEnd w:id="10"/>
      <w:bookmarkEnd w:id="11"/>
    </w:p>
    <w:p w14:paraId="5A7505F0" w14:textId="77777777" w:rsidR="0005757A" w:rsidRDefault="0005757A" w:rsidP="00E20940">
      <w:pPr>
        <w:pStyle w:val="TEXTE"/>
      </w:pPr>
    </w:p>
    <w:p w14:paraId="4A5CCF99" w14:textId="77777777" w:rsidR="00BF4AA6" w:rsidRPr="004B5FEB" w:rsidRDefault="00BF4AA6" w:rsidP="004B5FEB">
      <w:pPr>
        <w:pStyle w:val="Heading2"/>
      </w:pPr>
      <w:bookmarkStart w:id="12" w:name="_Toc486863051"/>
      <w:bookmarkStart w:id="13" w:name="_Toc492548721"/>
      <w:r>
        <w:t>SOCIEUX+ resumidamente</w:t>
      </w:r>
      <w:bookmarkEnd w:id="12"/>
      <w:bookmarkEnd w:id="13"/>
    </w:p>
    <w:p w14:paraId="6594FB18" w14:textId="6931BD30" w:rsidR="00BF4AA6" w:rsidRPr="00D329CA" w:rsidRDefault="00BF4AA6" w:rsidP="004B5FEB">
      <w:pPr>
        <w:pStyle w:val="TEXTE"/>
      </w:pPr>
      <w:r>
        <w:rPr>
          <w:b/>
        </w:rPr>
        <w:t>SOCIEUX+, Iniciativa da UE para a Proteção Social, Trabalho e Emprego</w:t>
      </w:r>
      <w:r>
        <w:t>, é um</w:t>
      </w:r>
      <w:r w:rsidR="00BE5DA2">
        <w:t>a Facilidade</w:t>
      </w:r>
      <w:r>
        <w:t xml:space="preserve">de assistência técnica implementado para melhorar as capacidades dos países parceiros para conceber e gerir políticas de trabalho e emprego e sistemas de proteção social inclusivos, eficazes e sustentáveis. SOCIEUX+ fornece acesso a conhecimento europeu de curto prazo e de elevada qualidade entre pares. Inspira-se, principalmente, no conhecimento de organismos públicos ou mandatados dos Estados-membros da UE, bem como de organizações importantes da sociedade civil e de organizações internacionais especializadas. Também pode apoiar a cooperação Sul-Sul e triangular através da mobilização de profissionais de países parceiros. </w:t>
      </w:r>
    </w:p>
    <w:p w14:paraId="1F71B1BF" w14:textId="40442632" w:rsidR="00BF4AA6" w:rsidRDefault="00BF4AA6" w:rsidP="004B5FEB">
      <w:pPr>
        <w:pStyle w:val="TEXTE"/>
      </w:pPr>
      <w:r>
        <w:t>Esta assistência técnica é fornecida p</w:t>
      </w:r>
      <w:r w:rsidR="00BE5DA2">
        <w:t>or</w:t>
      </w:r>
      <w:r>
        <w:t xml:space="preserve"> SOCIEUX+ no âmbito de uma Ação d</w:t>
      </w:r>
      <w:r w:rsidR="00BE5DA2">
        <w:t>e</w:t>
      </w:r>
      <w:r>
        <w:t xml:space="preserve"> SOCIEUX+.</w:t>
      </w:r>
    </w:p>
    <w:p w14:paraId="2C63E508" w14:textId="77777777" w:rsidR="00D27279" w:rsidRPr="00D329CA" w:rsidRDefault="00D27279" w:rsidP="004B5FEB">
      <w:pPr>
        <w:pStyle w:val="TEXTE"/>
      </w:pPr>
    </w:p>
    <w:p w14:paraId="67BCA0AF" w14:textId="77777777" w:rsidR="00BF4AA6" w:rsidRPr="004B5FEB" w:rsidRDefault="00BF4AA6" w:rsidP="004B5FEB">
      <w:pPr>
        <w:pStyle w:val="Heading2"/>
        <w:rPr>
          <w:rFonts w:eastAsia="Calibri"/>
        </w:rPr>
      </w:pPr>
      <w:bookmarkStart w:id="14" w:name="_Toc486863052"/>
      <w:bookmarkStart w:id="15" w:name="_Toc492548722"/>
      <w:r>
        <w:t>Ações do SOCIEUX+</w:t>
      </w:r>
      <w:bookmarkEnd w:id="14"/>
      <w:bookmarkEnd w:id="15"/>
    </w:p>
    <w:p w14:paraId="4A6D5189" w14:textId="15F6E734" w:rsidR="00BF4AA6" w:rsidRPr="00D329CA" w:rsidRDefault="00BF4AA6" w:rsidP="004B5FEB">
      <w:pPr>
        <w:pStyle w:val="TEXTE"/>
      </w:pPr>
      <w:r>
        <w:t xml:space="preserve">As </w:t>
      </w:r>
      <w:r>
        <w:rPr>
          <w:rStyle w:val="Emphasis"/>
        </w:rPr>
        <w:t>Ações d</w:t>
      </w:r>
      <w:r w:rsidR="00BE5DA2">
        <w:rPr>
          <w:rStyle w:val="Emphasis"/>
        </w:rPr>
        <w:t>e</w:t>
      </w:r>
      <w:r>
        <w:rPr>
          <w:rStyle w:val="Emphasis"/>
        </w:rPr>
        <w:t xml:space="preserve"> SOCIEUX+</w:t>
      </w:r>
      <w:r>
        <w:t xml:space="preserve"> são microprojetos implementados através de intervenções de assistência técnica a curto prazo. Estas ações assumem, regra geral, a forma de diversas </w:t>
      </w:r>
      <w:r>
        <w:rPr>
          <w:i/>
        </w:rPr>
        <w:t>atividades</w:t>
      </w:r>
      <w:r>
        <w:rPr>
          <w:color w:val="000000" w:themeColor="text1"/>
        </w:rPr>
        <w:t xml:space="preserve"> </w:t>
      </w:r>
      <w:r>
        <w:t>de curto prazo, que colmatam necessidades e/ou deficiências nas áreas abrangidas pelo âmbito de trabalho d</w:t>
      </w:r>
      <w:r w:rsidR="00BE5DA2">
        <w:t>e</w:t>
      </w:r>
      <w:r>
        <w:t xml:space="preserve"> SOCIEUX+.</w:t>
      </w:r>
    </w:p>
    <w:p w14:paraId="5EDDC730" w14:textId="77777777" w:rsidR="00BF4AA6" w:rsidRPr="00D329CA" w:rsidRDefault="00BF4AA6" w:rsidP="004B5FEB">
      <w:pPr>
        <w:pStyle w:val="TEXTE"/>
      </w:pPr>
      <w:r>
        <w:t xml:space="preserve">As ações podem destinar-se às insuficiências estruturais ou institucionais, ou assumir a forma de </w:t>
      </w:r>
      <w:r>
        <w:rPr>
          <w:i/>
        </w:rPr>
        <w:t>know-how</w:t>
      </w:r>
      <w:r>
        <w:t xml:space="preserve"> e assistência técnica </w:t>
      </w:r>
      <w:r>
        <w:rPr>
          <w:i/>
        </w:rPr>
        <w:t>ad hoc</w:t>
      </w:r>
      <w:r>
        <w:t xml:space="preserve"> para reforçar as capacidades existentes ou dar resposta a necessidades pontuais, incluindo:</w:t>
      </w:r>
    </w:p>
    <w:p w14:paraId="7D2F7525" w14:textId="77777777" w:rsidR="00BF4AA6" w:rsidRPr="00D329CA" w:rsidRDefault="00BF4AA6" w:rsidP="004B5FEB">
      <w:pPr>
        <w:pStyle w:val="TEXTE"/>
        <w:numPr>
          <w:ilvl w:val="0"/>
          <w:numId w:val="23"/>
        </w:numPr>
        <w:spacing w:after="0"/>
        <w:ind w:left="1434" w:hanging="357"/>
      </w:pPr>
      <w:r>
        <w:t>avaliação de lacunas e necessidades para reforçar as capacidades;</w:t>
      </w:r>
    </w:p>
    <w:p w14:paraId="20ADFE2F" w14:textId="77777777" w:rsidR="00BF4AA6" w:rsidRPr="00D329CA" w:rsidRDefault="00BF4AA6" w:rsidP="004B5FEB">
      <w:pPr>
        <w:pStyle w:val="TEXTE"/>
        <w:numPr>
          <w:ilvl w:val="0"/>
          <w:numId w:val="23"/>
        </w:numPr>
        <w:spacing w:after="0"/>
        <w:ind w:left="1434" w:hanging="357"/>
      </w:pPr>
      <w:r>
        <w:t>projetos para reforçar as capacidades e medidas de desenvolvimento;</w:t>
      </w:r>
    </w:p>
    <w:p w14:paraId="4DFD20B9" w14:textId="77777777" w:rsidR="00BF4AA6" w:rsidRPr="00D329CA" w:rsidRDefault="00BF4AA6" w:rsidP="004B5FEB">
      <w:pPr>
        <w:pStyle w:val="TEXTE"/>
        <w:numPr>
          <w:ilvl w:val="0"/>
          <w:numId w:val="23"/>
        </w:numPr>
        <w:spacing w:after="0"/>
        <w:ind w:left="1434" w:hanging="357"/>
      </w:pPr>
      <w:r>
        <w:t>análise setorial e funcional (e recomendações);</w:t>
      </w:r>
    </w:p>
    <w:p w14:paraId="02DD3646" w14:textId="77777777" w:rsidR="00BF4AA6" w:rsidRPr="00D329CA" w:rsidRDefault="00BF4AA6" w:rsidP="004B5FEB">
      <w:pPr>
        <w:pStyle w:val="TEXTE"/>
        <w:numPr>
          <w:ilvl w:val="0"/>
          <w:numId w:val="23"/>
        </w:numPr>
        <w:spacing w:after="0"/>
        <w:ind w:left="1434" w:hanging="357"/>
      </w:pPr>
      <w:r>
        <w:t>conceção de sistemas e formulação de políticas;</w:t>
      </w:r>
    </w:p>
    <w:p w14:paraId="7B77BF78" w14:textId="77777777" w:rsidR="00BF4AA6" w:rsidRPr="00D329CA" w:rsidRDefault="00BF4AA6" w:rsidP="004B5FEB">
      <w:pPr>
        <w:pStyle w:val="TEXTE"/>
        <w:numPr>
          <w:ilvl w:val="0"/>
          <w:numId w:val="23"/>
        </w:numPr>
        <w:spacing w:after="0"/>
        <w:ind w:left="1434" w:hanging="357"/>
      </w:pPr>
      <w:r>
        <w:t>revisões e formulação do enquadramento jurídico e regulador;</w:t>
      </w:r>
    </w:p>
    <w:p w14:paraId="3BF94699" w14:textId="77777777" w:rsidR="00BF4AA6" w:rsidRPr="00D329CA" w:rsidRDefault="00BF4AA6" w:rsidP="004B5FEB">
      <w:pPr>
        <w:pStyle w:val="TEXTE"/>
        <w:numPr>
          <w:ilvl w:val="0"/>
          <w:numId w:val="23"/>
        </w:numPr>
        <w:spacing w:after="0"/>
        <w:ind w:left="1434" w:hanging="357"/>
      </w:pPr>
      <w:r>
        <w:t xml:space="preserve">apoio de planeamento estratégico; </w:t>
      </w:r>
    </w:p>
    <w:p w14:paraId="65162AA1" w14:textId="77777777" w:rsidR="00BF4AA6" w:rsidRPr="00D329CA" w:rsidRDefault="00BF4AA6" w:rsidP="004B5FEB">
      <w:pPr>
        <w:pStyle w:val="TEXTE"/>
        <w:numPr>
          <w:ilvl w:val="0"/>
          <w:numId w:val="23"/>
        </w:numPr>
        <w:spacing w:after="0"/>
        <w:ind w:left="1434" w:hanging="357"/>
      </w:pPr>
      <w:r>
        <w:t>gestão e processamento de dados e informações; e</w:t>
      </w:r>
    </w:p>
    <w:p w14:paraId="1E6E5488" w14:textId="77777777" w:rsidR="00BF4AA6" w:rsidRPr="00D329CA" w:rsidRDefault="00BF4AA6" w:rsidP="004B5FEB">
      <w:pPr>
        <w:pStyle w:val="TEXTE"/>
        <w:numPr>
          <w:ilvl w:val="0"/>
          <w:numId w:val="23"/>
        </w:numPr>
        <w:spacing w:after="0"/>
        <w:ind w:left="1434" w:hanging="357"/>
      </w:pPr>
      <w:r>
        <w:t>outras intervenções pertinentes, em conformidade com os objetivos específicos do SOCIEUX+.</w:t>
      </w:r>
    </w:p>
    <w:p w14:paraId="09ADAA6B" w14:textId="77777777" w:rsidR="00BF4AA6" w:rsidRPr="00D329CA" w:rsidRDefault="00BF4AA6" w:rsidP="004B5FEB">
      <w:pPr>
        <w:pStyle w:val="TEXTE"/>
      </w:pPr>
    </w:p>
    <w:p w14:paraId="666F8982" w14:textId="77777777" w:rsidR="00BF4AA6" w:rsidRPr="00D329CA" w:rsidRDefault="00BF4AA6" w:rsidP="004B5FEB">
      <w:pPr>
        <w:pStyle w:val="TEXTE"/>
      </w:pPr>
      <w:r>
        <w:t>SOCIEUX+ direciona-se para atividades que ocorrem num país parceiro, apesar de também poderem ser consideradas, em casos justificados, determinadas medidas, tais como assistência à distância e visitas de estudo a países terceiros. As atividades no local são implementadas através de missões de curto prazo, com a duração de 1 a 3 semanas, regra geral realizadas por uma equipa de dois peritos mobilizados de diferentes Estados-Membros ou instituições da União Europeia.</w:t>
      </w:r>
    </w:p>
    <w:p w14:paraId="5FFB3ABC" w14:textId="77777777" w:rsidR="00BF4AA6" w:rsidRPr="00D329CA" w:rsidRDefault="00BF4AA6" w:rsidP="00A878E9">
      <w:pPr>
        <w:pStyle w:val="TEXTE"/>
        <w:spacing w:after="0"/>
      </w:pPr>
      <w:r>
        <w:t xml:space="preserve">Na prática, as </w:t>
      </w:r>
      <w:r>
        <w:rPr>
          <w:rStyle w:val="Emphasis"/>
        </w:rPr>
        <w:t>atividades do SOCIEUX+</w:t>
      </w:r>
      <w:r>
        <w:t xml:space="preserve"> podem assumir formas diferentes, tais como:</w:t>
      </w:r>
    </w:p>
    <w:p w14:paraId="44091776" w14:textId="77777777" w:rsidR="00BF4AA6" w:rsidRPr="00D329CA" w:rsidRDefault="00BF4AA6" w:rsidP="004B5FEB">
      <w:pPr>
        <w:pStyle w:val="TEXTE"/>
        <w:numPr>
          <w:ilvl w:val="0"/>
          <w:numId w:val="24"/>
        </w:numPr>
        <w:spacing w:after="0"/>
        <w:ind w:left="1434" w:hanging="357"/>
      </w:pPr>
      <w:r>
        <w:t>aconselhamento especializado e consultoria em assuntos técnicos específicos;</w:t>
      </w:r>
    </w:p>
    <w:p w14:paraId="2BD5E98D" w14:textId="77777777" w:rsidR="00BF4AA6" w:rsidRPr="00D329CA" w:rsidRDefault="00BF4AA6" w:rsidP="004B5FEB">
      <w:pPr>
        <w:pStyle w:val="TEXTE"/>
        <w:numPr>
          <w:ilvl w:val="0"/>
          <w:numId w:val="24"/>
        </w:numPr>
        <w:spacing w:after="0"/>
        <w:ind w:left="1434" w:hanging="357"/>
      </w:pPr>
      <w:r>
        <w:t>análise e revisão de documentos/programas;</w:t>
      </w:r>
    </w:p>
    <w:p w14:paraId="486D9E57" w14:textId="77777777" w:rsidR="00BF4AA6" w:rsidRPr="00D329CA" w:rsidRDefault="00BF4AA6" w:rsidP="004B5FEB">
      <w:pPr>
        <w:pStyle w:val="TEXTE"/>
        <w:numPr>
          <w:ilvl w:val="0"/>
          <w:numId w:val="24"/>
        </w:numPr>
        <w:spacing w:after="0"/>
        <w:ind w:left="1434" w:hanging="357"/>
      </w:pPr>
      <w:r>
        <w:t>apoio especializado na elaboração de legislação/estratégias; e</w:t>
      </w:r>
    </w:p>
    <w:p w14:paraId="30603A76" w14:textId="77777777" w:rsidR="00BF4AA6" w:rsidRPr="00D329CA" w:rsidRDefault="00BF4AA6" w:rsidP="004B5FEB">
      <w:pPr>
        <w:pStyle w:val="TEXTE"/>
        <w:numPr>
          <w:ilvl w:val="0"/>
          <w:numId w:val="24"/>
        </w:numPr>
        <w:spacing w:after="0"/>
        <w:ind w:left="1434" w:hanging="357"/>
      </w:pPr>
      <w:r>
        <w:t>seminários de “Formação de formadores”;</w:t>
      </w:r>
    </w:p>
    <w:p w14:paraId="76AF85F3" w14:textId="77777777" w:rsidR="00BF4AA6" w:rsidRPr="00D329CA" w:rsidRDefault="00BF4AA6" w:rsidP="004B5FEB">
      <w:pPr>
        <w:pStyle w:val="TEXTE"/>
        <w:numPr>
          <w:ilvl w:val="0"/>
          <w:numId w:val="24"/>
        </w:numPr>
        <w:spacing w:after="0"/>
        <w:ind w:left="1434" w:hanging="357"/>
      </w:pPr>
      <w:r>
        <w:t>formações técnicas;</w:t>
      </w:r>
    </w:p>
    <w:p w14:paraId="46B2A740" w14:textId="77777777" w:rsidR="00BF4AA6" w:rsidRPr="00D329CA" w:rsidRDefault="00BF4AA6" w:rsidP="004B5FEB">
      <w:pPr>
        <w:pStyle w:val="TEXTE"/>
        <w:numPr>
          <w:ilvl w:val="0"/>
          <w:numId w:val="24"/>
        </w:numPr>
        <w:spacing w:after="0"/>
        <w:ind w:left="1434" w:hanging="357"/>
      </w:pPr>
      <w:r>
        <w:t>missões de averiguação dos factos/avaliação;</w:t>
      </w:r>
    </w:p>
    <w:p w14:paraId="4EC71259" w14:textId="77777777" w:rsidR="00BF4AA6" w:rsidRPr="00D329CA" w:rsidRDefault="00BF4AA6" w:rsidP="004B5FEB">
      <w:pPr>
        <w:pStyle w:val="TEXTE"/>
        <w:numPr>
          <w:ilvl w:val="0"/>
          <w:numId w:val="24"/>
        </w:numPr>
        <w:spacing w:after="0"/>
        <w:ind w:left="1434" w:hanging="357"/>
      </w:pPr>
      <w:r>
        <w:t>mesa redonda;</w:t>
      </w:r>
    </w:p>
    <w:p w14:paraId="4617C0D7" w14:textId="77777777" w:rsidR="00BF4AA6" w:rsidRPr="00D329CA" w:rsidRDefault="00BF4AA6" w:rsidP="004B5FEB">
      <w:pPr>
        <w:pStyle w:val="TEXTE"/>
        <w:numPr>
          <w:ilvl w:val="0"/>
          <w:numId w:val="24"/>
        </w:numPr>
        <w:spacing w:after="0"/>
        <w:ind w:left="1434" w:hanging="357"/>
      </w:pPr>
      <w:r>
        <w:rPr>
          <w:i/>
        </w:rPr>
        <w:t>workshops</w:t>
      </w:r>
      <w:r>
        <w:t xml:space="preserve"> temáticos; e</w:t>
      </w:r>
    </w:p>
    <w:p w14:paraId="184DD026" w14:textId="77777777" w:rsidR="00BF4AA6" w:rsidRDefault="00BF4AA6" w:rsidP="004B5FEB">
      <w:pPr>
        <w:pStyle w:val="TEXTE"/>
        <w:numPr>
          <w:ilvl w:val="0"/>
          <w:numId w:val="24"/>
        </w:numPr>
        <w:spacing w:after="0"/>
        <w:ind w:left="1434" w:hanging="357"/>
      </w:pPr>
      <w:r>
        <w:t>qualquer outro tipo de medida que possa ser fornecida através de intercâmbio entre pares a curto prazo.</w:t>
      </w:r>
    </w:p>
    <w:p w14:paraId="7C3705B0" w14:textId="77777777" w:rsidR="00BF4AA6" w:rsidRPr="00D329CA" w:rsidRDefault="00BF4AA6" w:rsidP="00BF4AA6">
      <w:pPr>
        <w:pStyle w:val="ListParagraph"/>
        <w:ind w:left="1800"/>
      </w:pPr>
    </w:p>
    <w:p w14:paraId="65E22081" w14:textId="3C1067A5" w:rsidR="00BF4AA6" w:rsidRPr="004B5FEB" w:rsidRDefault="00BF4AA6" w:rsidP="00A878E9">
      <w:pPr>
        <w:ind w:left="576"/>
        <w:rPr>
          <w:rStyle w:val="Emphasis"/>
          <w:rFonts w:ascii="Times New Roman" w:hAnsi="Times New Roman"/>
          <w:b/>
          <w:szCs w:val="20"/>
        </w:rPr>
      </w:pPr>
      <w:r>
        <w:rPr>
          <w:rStyle w:val="Emphasis"/>
          <w:b/>
        </w:rPr>
        <w:t>Não é possível o financiamento ou a aquisição de equipamento ou infraestruturas no âmbito d</w:t>
      </w:r>
      <w:r w:rsidR="00BE5DA2">
        <w:rPr>
          <w:rStyle w:val="Emphasis"/>
          <w:b/>
        </w:rPr>
        <w:t>e ações de</w:t>
      </w:r>
      <w:r>
        <w:rPr>
          <w:rStyle w:val="Emphasis"/>
          <w:b/>
        </w:rPr>
        <w:t xml:space="preserve"> SOCIEUX+.</w:t>
      </w:r>
    </w:p>
    <w:p w14:paraId="6985BAD1" w14:textId="77777777" w:rsidR="00BF4AA6" w:rsidRPr="006E1925" w:rsidRDefault="00BF4AA6" w:rsidP="00E20940">
      <w:pPr>
        <w:pStyle w:val="TEXTE"/>
      </w:pPr>
    </w:p>
    <w:p w14:paraId="4E67D242" w14:textId="77777777" w:rsidR="00D27279" w:rsidRDefault="00D27279">
      <w:pPr>
        <w:rPr>
          <w:rFonts w:eastAsia="Times New Roman" w:cs="Arial"/>
          <w:b/>
          <w:i/>
          <w:sz w:val="22"/>
          <w:szCs w:val="22"/>
        </w:rPr>
      </w:pPr>
      <w:r>
        <w:br w:type="page"/>
      </w:r>
    </w:p>
    <w:p w14:paraId="70EDE0EB" w14:textId="5C64EFCB" w:rsidR="004B5FEB" w:rsidRDefault="004B5FEB" w:rsidP="004B5FEB">
      <w:pPr>
        <w:pStyle w:val="Heading2"/>
      </w:pPr>
      <w:bookmarkStart w:id="16" w:name="_Toc492548723"/>
      <w:r>
        <w:t>Instituições e países parceiros d</w:t>
      </w:r>
      <w:r w:rsidR="00BE5DA2">
        <w:t>e</w:t>
      </w:r>
      <w:r>
        <w:t xml:space="preserve"> SOCIEUX+</w:t>
      </w:r>
      <w:bookmarkEnd w:id="16"/>
    </w:p>
    <w:p w14:paraId="70DA93E6" w14:textId="6099BECE" w:rsidR="004B5FEB" w:rsidRDefault="004B5FEB" w:rsidP="004B5FEB">
      <w:pPr>
        <w:pStyle w:val="TEXTE"/>
      </w:pPr>
      <w:r>
        <w:t xml:space="preserve">Podem ser implementadas ações nos </w:t>
      </w:r>
      <w:r>
        <w:rPr>
          <w:b/>
        </w:rPr>
        <w:t xml:space="preserve">145 </w:t>
      </w:r>
      <w:r w:rsidR="00736CF8">
        <w:rPr>
          <w:b/>
        </w:rPr>
        <w:t>p</w:t>
      </w:r>
      <w:r>
        <w:rPr>
          <w:b/>
        </w:rPr>
        <w:t xml:space="preserve">aíses </w:t>
      </w:r>
      <w:r w:rsidR="00736CF8">
        <w:rPr>
          <w:b/>
        </w:rPr>
        <w:t>p</w:t>
      </w:r>
      <w:r>
        <w:rPr>
          <w:b/>
        </w:rPr>
        <w:t>arceiros elegíveis</w:t>
      </w:r>
      <w:r>
        <w:t xml:space="preserve"> abrangidos pelos instrumentos de desenvolvimento e cooperação da UE em (ver Anexo 1 para a lista completa de países):</w:t>
      </w:r>
    </w:p>
    <w:p w14:paraId="0C68DA91" w14:textId="77777777" w:rsidR="004B5FEB" w:rsidRDefault="004B5FEB" w:rsidP="004B5FEB">
      <w:pPr>
        <w:pStyle w:val="TEXTE"/>
      </w:pPr>
      <w:r>
        <w:t>•</w:t>
      </w:r>
      <w:r>
        <w:tab/>
        <w:t>América Latina, Ásia (incluindo Ásia Central) e Médio Oriente;</w:t>
      </w:r>
    </w:p>
    <w:p w14:paraId="2D959178" w14:textId="77777777" w:rsidR="004B5FEB" w:rsidRDefault="004B5FEB" w:rsidP="004B5FEB">
      <w:pPr>
        <w:pStyle w:val="TEXTE"/>
      </w:pPr>
      <w:r>
        <w:t>•</w:t>
      </w:r>
      <w:r>
        <w:tab/>
        <w:t>África, Caraíbas e Pacífico;</w:t>
      </w:r>
    </w:p>
    <w:p w14:paraId="5DFA6330" w14:textId="77777777" w:rsidR="004B5FEB" w:rsidRDefault="004B5FEB" w:rsidP="004B5FEB">
      <w:pPr>
        <w:pStyle w:val="TEXTE"/>
      </w:pPr>
      <w:r>
        <w:t>•</w:t>
      </w:r>
      <w:r>
        <w:tab/>
        <w:t>Vizinhança Europeia.</w:t>
      </w:r>
    </w:p>
    <w:p w14:paraId="4FA88A23" w14:textId="5668DCFF" w:rsidR="00B74A9E" w:rsidRPr="00B74A9E" w:rsidRDefault="004B5FEB" w:rsidP="00B74A9E">
      <w:pPr>
        <w:pStyle w:val="TEXTE"/>
      </w:pPr>
      <w:r>
        <w:t xml:space="preserve">As </w:t>
      </w:r>
      <w:r w:rsidR="00BE5DA2">
        <w:t>a</w:t>
      </w:r>
      <w:r>
        <w:t>ções d</w:t>
      </w:r>
      <w:r w:rsidR="00BE5DA2">
        <w:t>e</w:t>
      </w:r>
      <w:r>
        <w:t xml:space="preserve"> SOCIEUX+ visam e cooperam com instituições públicas ou mandatadas em </w:t>
      </w:r>
      <w:r w:rsidR="00BE5DA2">
        <w:t>p</w:t>
      </w:r>
      <w:r>
        <w:t xml:space="preserve">aíses </w:t>
      </w:r>
      <w:r w:rsidR="00BE5DA2">
        <w:t>p</w:t>
      </w:r>
      <w:r>
        <w:t>arceiros disponibilizando conhecimentos de excelência para atividades de assistência técnica a curto prazo. Essas instituições parceiras são as autoridades públicas e organismos mandatados (nacionais e locais) com responsabilidades nas áreas da proteção social, do trabalho e do emprego, responsáveis pela proteção social.</w:t>
      </w:r>
    </w:p>
    <w:p w14:paraId="6CEF6C9E" w14:textId="77777777" w:rsidR="004B5FEB" w:rsidRPr="006E1925" w:rsidRDefault="004B5FEB" w:rsidP="004B5FEB">
      <w:pPr>
        <w:pStyle w:val="TEXTE"/>
      </w:pPr>
    </w:p>
    <w:p w14:paraId="4B77247F" w14:textId="79FD2CC5" w:rsidR="00211F0F" w:rsidRDefault="00211F0F" w:rsidP="00211F0F">
      <w:pPr>
        <w:pStyle w:val="TEXTE"/>
      </w:pPr>
      <w:r>
        <w:t xml:space="preserve">SOCIEUX+ visa </w:t>
      </w:r>
      <w:r>
        <w:rPr>
          <w:b/>
        </w:rPr>
        <w:t>autoridades públicas e organismos mandatados</w:t>
      </w:r>
      <w:r>
        <w:t xml:space="preserve"> encarregues da proteção social, do trabalho e do emprego a nível nacional e local em países parceiros. Mais precisamente, são considerados elegíveis os seguintes organismos dos setores público e semipúblico: governos centrais, ministérios, concelhos legislativos e governos regionais, organismos mandatados, outras instituições responsáveis pela implementação ou disponibilização de proteção social, trabalho e emprego. Estas instituições parceiras deverão ter responsabilidades nos campos abrangidos pelo âmbito de trabalho d</w:t>
      </w:r>
      <w:r w:rsidR="00736CF8">
        <w:t>e</w:t>
      </w:r>
      <w:r>
        <w:t xml:space="preserve"> SOCIEUX+. </w:t>
      </w:r>
    </w:p>
    <w:p w14:paraId="34C00C01" w14:textId="77777777" w:rsidR="00211F0F" w:rsidRDefault="00211F0F" w:rsidP="00211F0F">
      <w:pPr>
        <w:pStyle w:val="TEXTE"/>
      </w:pPr>
    </w:p>
    <w:p w14:paraId="7C986594" w14:textId="320D9142" w:rsidR="00211F0F" w:rsidRPr="00211F0F" w:rsidRDefault="00736CF8" w:rsidP="00211F0F">
      <w:pPr>
        <w:pStyle w:val="TEXTE"/>
      </w:pPr>
      <w:r>
        <w:t xml:space="preserve">A Facilidade </w:t>
      </w:r>
      <w:r w:rsidR="00211F0F">
        <w:t xml:space="preserve">também pode cooperar com </w:t>
      </w:r>
      <w:r w:rsidR="00211F0F">
        <w:rPr>
          <w:b/>
        </w:rPr>
        <w:t>parceiros sociais</w:t>
      </w:r>
      <w:r w:rsidR="00211F0F">
        <w:t xml:space="preserve"> comprometidos com o diálogo social que influencie a agenda política e de desenvolvimento do âmbito de trabalho d</w:t>
      </w:r>
      <w:r>
        <w:t>e</w:t>
      </w:r>
      <w:r w:rsidR="00211F0F">
        <w:t xml:space="preserve"> SOCIEUX+, tais como sindicatos, organizações de empregadores e trabalhadores e organismos associados, organizações de cúpula, entre outros. Estas partes interessadas também deverão ser consideradas na implementação de ações que beneficiem outras instituições parceiras sempre que relevante para assegurar a concretização e a sustentabilidade dos objetivos das ações.</w:t>
      </w:r>
    </w:p>
    <w:p w14:paraId="3826DB37" w14:textId="77777777" w:rsidR="004B5FEB" w:rsidRDefault="004B5FEB" w:rsidP="004B5FEB">
      <w:pPr>
        <w:pStyle w:val="Heading2"/>
      </w:pPr>
      <w:bookmarkStart w:id="17" w:name="_Toc492548724"/>
      <w:r>
        <w:t>Áreas de assistência técnica do SOCIEUX+</w:t>
      </w:r>
      <w:bookmarkEnd w:id="17"/>
    </w:p>
    <w:p w14:paraId="45B4A386" w14:textId="77777777" w:rsidR="004B5FEB" w:rsidRDefault="004B5FEB" w:rsidP="004B5FEB">
      <w:pPr>
        <w:pStyle w:val="TEXTE"/>
      </w:pPr>
      <w:r>
        <w:t xml:space="preserve">Em princípio, quase todas as políticas e ações no contexto da proteção social, do trabalho e do emprego, com o objetivo de aliviar a pobreza, reduzir a vulnerabilidade, bem como proporcionar segurança de rendimento e acesso a serviços essenciais e oportunidades de trabalho, poderiam ser apoiadas através de ações individuais. </w:t>
      </w:r>
    </w:p>
    <w:p w14:paraId="3DF21DA7" w14:textId="77777777" w:rsidR="004B5FEB" w:rsidRDefault="004B5FEB" w:rsidP="004B5FEB">
      <w:pPr>
        <w:pStyle w:val="Heading3"/>
      </w:pPr>
      <w:bookmarkStart w:id="18" w:name="_Toc492548725"/>
      <w:r>
        <w:t>Trabalho e emprego</w:t>
      </w:r>
      <w:bookmarkEnd w:id="18"/>
    </w:p>
    <w:p w14:paraId="0C685E92" w14:textId="4D98FA7E" w:rsidR="004B5FEB" w:rsidRDefault="004B5FEB" w:rsidP="004B5FEB">
      <w:pPr>
        <w:pStyle w:val="TEXTE"/>
      </w:pPr>
      <w:r>
        <w:t xml:space="preserve">SOCIEUX+ concentra os seus esforços na área do trabalho e do emprego através do apoio a instituições parceiras elegíveis, em particular os </w:t>
      </w:r>
      <w:r w:rsidR="00736CF8">
        <w:t>m</w:t>
      </w:r>
      <w:r>
        <w:t xml:space="preserve">inistérios do </w:t>
      </w:r>
      <w:r w:rsidR="00736CF8">
        <w:t>t</w:t>
      </w:r>
      <w:r>
        <w:t>rabalho e agências relacionadas, em países de rendimento baixo e médio. Estes países enfrentam sérios desafios na conceção e implementação de estratégias de emprego e políticas do mercado de trabalho eficazes, tais como, mas sem limitação:</w:t>
      </w:r>
    </w:p>
    <w:p w14:paraId="1B00C4C8" w14:textId="77777777" w:rsidR="004B5FEB" w:rsidRDefault="004B5FEB" w:rsidP="00D27279">
      <w:pPr>
        <w:pStyle w:val="TEXTE"/>
        <w:spacing w:after="60"/>
        <w:ind w:left="1134"/>
      </w:pPr>
      <w:r>
        <w:t>•</w:t>
      </w:r>
      <w:r>
        <w:tab/>
        <w:t>Estratégias de emprego abrangentes em todas as áreas políticas;</w:t>
      </w:r>
    </w:p>
    <w:p w14:paraId="0789F9E9" w14:textId="77777777" w:rsidR="004B5FEB" w:rsidRDefault="004B5FEB" w:rsidP="006E1925">
      <w:pPr>
        <w:pStyle w:val="TEXTE"/>
        <w:spacing w:after="60"/>
        <w:ind w:left="1456" w:hanging="322"/>
      </w:pPr>
      <w:r>
        <w:t>•</w:t>
      </w:r>
      <w:r>
        <w:tab/>
        <w:t>Sistemas de informação do mercado de trabalho e outras pesquisas de informações e operações;</w:t>
      </w:r>
    </w:p>
    <w:p w14:paraId="53451D89" w14:textId="77777777" w:rsidR="004B5FEB" w:rsidRDefault="004B5FEB" w:rsidP="00D27279">
      <w:pPr>
        <w:pStyle w:val="TEXTE"/>
        <w:spacing w:after="60"/>
        <w:ind w:left="1134"/>
      </w:pPr>
      <w:r>
        <w:t>•</w:t>
      </w:r>
      <w:r>
        <w:tab/>
        <w:t>Políticas ativas e passivas do mercado de trabalho;</w:t>
      </w:r>
    </w:p>
    <w:p w14:paraId="1D8AEBF6" w14:textId="77777777" w:rsidR="004B5FEB" w:rsidRDefault="004B5FEB" w:rsidP="00D27279">
      <w:pPr>
        <w:pStyle w:val="TEXTE"/>
        <w:spacing w:after="60"/>
        <w:ind w:left="1134"/>
      </w:pPr>
      <w:r>
        <w:t>•</w:t>
      </w:r>
      <w:r>
        <w:tab/>
        <w:t xml:space="preserve">Conformidade com normas internacionais de trabalho; </w:t>
      </w:r>
    </w:p>
    <w:p w14:paraId="758AF203" w14:textId="77777777" w:rsidR="004B5FEB" w:rsidRDefault="004B5FEB" w:rsidP="00D27279">
      <w:pPr>
        <w:pStyle w:val="TEXTE"/>
        <w:spacing w:after="60"/>
        <w:ind w:left="1134"/>
      </w:pPr>
      <w:r>
        <w:t>•</w:t>
      </w:r>
      <w:r>
        <w:tab/>
        <w:t>Políticas e estratégias informais de trabalho e respetiva transição económica;</w:t>
      </w:r>
    </w:p>
    <w:p w14:paraId="6E735F63" w14:textId="77777777" w:rsidR="004B5FEB" w:rsidRDefault="004B5FEB" w:rsidP="00D27279">
      <w:pPr>
        <w:pStyle w:val="TEXTE"/>
        <w:spacing w:after="60"/>
        <w:ind w:left="1134"/>
      </w:pPr>
      <w:r>
        <w:t>•</w:t>
      </w:r>
      <w:r>
        <w:tab/>
        <w:t>Emprego de populações migrantes;</w:t>
      </w:r>
    </w:p>
    <w:p w14:paraId="5B1F545F" w14:textId="77777777" w:rsidR="004B5FEB" w:rsidRDefault="004B5FEB" w:rsidP="00D27279">
      <w:pPr>
        <w:pStyle w:val="TEXTE"/>
        <w:spacing w:after="60"/>
        <w:ind w:left="1134"/>
      </w:pPr>
      <w:r>
        <w:t>•</w:t>
      </w:r>
      <w:r>
        <w:tab/>
        <w:t>Educação e formação vocacional e desenvolvimento de competências;</w:t>
      </w:r>
    </w:p>
    <w:p w14:paraId="5BF4A0A5" w14:textId="77777777" w:rsidR="004B5FEB" w:rsidRDefault="004B5FEB" w:rsidP="00D27279">
      <w:pPr>
        <w:pStyle w:val="TEXTE"/>
        <w:spacing w:after="60"/>
        <w:ind w:left="1134"/>
      </w:pPr>
      <w:r>
        <w:t>•</w:t>
      </w:r>
      <w:r>
        <w:tab/>
        <w:t>Programas de obras públicas de trabalho intensivo;</w:t>
      </w:r>
    </w:p>
    <w:p w14:paraId="52C3B581" w14:textId="77777777" w:rsidR="004B5FEB" w:rsidRDefault="004B5FEB" w:rsidP="00D27279">
      <w:pPr>
        <w:pStyle w:val="TEXTE"/>
        <w:spacing w:after="60"/>
        <w:ind w:left="1134"/>
      </w:pPr>
      <w:r>
        <w:t>•</w:t>
      </w:r>
      <w:r>
        <w:tab/>
        <w:t>Intermediação do mercado de trabalho;</w:t>
      </w:r>
    </w:p>
    <w:p w14:paraId="3916EE5B" w14:textId="77777777" w:rsidR="004B5FEB" w:rsidRDefault="004B5FEB" w:rsidP="00D27279">
      <w:pPr>
        <w:pStyle w:val="TEXTE"/>
        <w:spacing w:after="60"/>
        <w:ind w:left="1134"/>
      </w:pPr>
      <w:r>
        <w:t>•</w:t>
      </w:r>
      <w:r>
        <w:tab/>
        <w:t>Mercados de trabalho inclusivos; e</w:t>
      </w:r>
    </w:p>
    <w:p w14:paraId="3FC2E064" w14:textId="77777777" w:rsidR="004B5FEB" w:rsidRDefault="004B5FEB" w:rsidP="00D27279">
      <w:pPr>
        <w:pStyle w:val="TEXTE"/>
        <w:spacing w:after="60"/>
        <w:ind w:left="1134"/>
      </w:pPr>
      <w:r>
        <w:t>•</w:t>
      </w:r>
      <w:r>
        <w:tab/>
        <w:t>Concertação social.</w:t>
      </w:r>
    </w:p>
    <w:p w14:paraId="5AD54169" w14:textId="77777777" w:rsidR="006E1925" w:rsidRDefault="006E1925">
      <w:pPr>
        <w:rPr>
          <w:rFonts w:cstheme="majorBidi"/>
          <w:b/>
          <w:i/>
          <w:color w:val="243F60" w:themeColor="accent1" w:themeShade="7F"/>
          <w:sz w:val="20"/>
          <w:szCs w:val="20"/>
        </w:rPr>
      </w:pPr>
      <w:bookmarkStart w:id="19" w:name="_Toc492548726"/>
      <w:r>
        <w:br w:type="page"/>
      </w:r>
    </w:p>
    <w:p w14:paraId="3227332C" w14:textId="36B863B1" w:rsidR="004B5FEB" w:rsidRDefault="004B5FEB" w:rsidP="004B5FEB">
      <w:pPr>
        <w:pStyle w:val="Heading3"/>
      </w:pPr>
      <w:r>
        <w:t>Proteção social</w:t>
      </w:r>
      <w:bookmarkEnd w:id="19"/>
    </w:p>
    <w:p w14:paraId="24E2E678" w14:textId="00CE8AB2" w:rsidR="004B5FEB" w:rsidRDefault="004B5FEB" w:rsidP="004B5FEB">
      <w:pPr>
        <w:pStyle w:val="TEXTE"/>
      </w:pPr>
      <w:r>
        <w:t xml:space="preserve">SOCIEUX+ aborda os principais desafios nos países parceiros quanto a conceção e operacionalização dos sistemas e programas de proteção social que têm uma melhor cobertura, que são mais equitativos e inclusivos, eficazes, adequados e fiscalmente viáveis e sustentáveis. </w:t>
      </w:r>
      <w:r w:rsidR="00736CF8">
        <w:t>A Facilidade</w:t>
      </w:r>
      <w:r>
        <w:t xml:space="preserve"> favorece o apoio de instituições parceiras elegíveis em países de rendimento baixo e médio. Esse apoio abrange, mas não está limitado a:</w:t>
      </w:r>
    </w:p>
    <w:p w14:paraId="2FB04803" w14:textId="77777777" w:rsidR="004B5FEB" w:rsidRDefault="004B5FEB" w:rsidP="006E1925">
      <w:pPr>
        <w:pStyle w:val="TEXTE"/>
        <w:spacing w:after="60"/>
        <w:ind w:left="1456" w:hanging="322"/>
      </w:pPr>
      <w:r>
        <w:t>•</w:t>
      </w:r>
      <w:r>
        <w:tab/>
        <w:t>Quadro legal e institucional para o fornecimento de cobertura de proteção social efetiva e eficiente;</w:t>
      </w:r>
    </w:p>
    <w:p w14:paraId="18C75A55" w14:textId="77777777" w:rsidR="004B5FEB" w:rsidRDefault="004B5FEB" w:rsidP="006E1925">
      <w:pPr>
        <w:pStyle w:val="TEXTE"/>
        <w:spacing w:after="60"/>
        <w:ind w:left="1456" w:hanging="322"/>
      </w:pPr>
      <w:r>
        <w:t>•</w:t>
      </w:r>
      <w:r>
        <w:tab/>
        <w:t>Capacidades individuais e organizacionais para decisões políticas;</w:t>
      </w:r>
    </w:p>
    <w:p w14:paraId="32E12E0B" w14:textId="77777777" w:rsidR="004B5FEB" w:rsidRDefault="004B5FEB" w:rsidP="006E1925">
      <w:pPr>
        <w:pStyle w:val="TEXTE"/>
        <w:spacing w:after="60"/>
        <w:ind w:left="1456" w:hanging="322"/>
      </w:pPr>
      <w:r>
        <w:t>•</w:t>
      </w:r>
      <w:r>
        <w:tab/>
        <w:t xml:space="preserve">Formação de capacidades para programas e sistemas de proteção social, e implementação de políticas; </w:t>
      </w:r>
    </w:p>
    <w:p w14:paraId="03B03A8F" w14:textId="77777777" w:rsidR="004B5FEB" w:rsidRDefault="004B5FEB" w:rsidP="006E1925">
      <w:pPr>
        <w:pStyle w:val="TEXTE"/>
        <w:spacing w:after="60"/>
        <w:ind w:left="1456" w:hanging="322"/>
      </w:pPr>
      <w:r>
        <w:t>•</w:t>
      </w:r>
      <w:r>
        <w:tab/>
        <w:t>Formação de defesa e capacidades para políticas de integração e intersetoriais e questões relacionadas com a proteção social;</w:t>
      </w:r>
    </w:p>
    <w:p w14:paraId="1AC33C45" w14:textId="77777777" w:rsidR="004B5FEB" w:rsidRDefault="004B5FEB" w:rsidP="006E1925">
      <w:pPr>
        <w:pStyle w:val="TEXTE"/>
        <w:spacing w:after="60"/>
        <w:ind w:left="1456" w:hanging="322"/>
      </w:pPr>
      <w:r>
        <w:t>•</w:t>
      </w:r>
      <w:r>
        <w:tab/>
        <w:t xml:space="preserve">Formação de defesa e capacidades para a sustentabilidade de sistemas e programas de proteção social internamente financiados; </w:t>
      </w:r>
    </w:p>
    <w:p w14:paraId="4EEBDF02" w14:textId="77777777" w:rsidR="004B5FEB" w:rsidRDefault="004B5FEB" w:rsidP="006E1925">
      <w:pPr>
        <w:pStyle w:val="TEXTE"/>
        <w:spacing w:after="60"/>
        <w:ind w:left="1456" w:hanging="322"/>
      </w:pPr>
      <w:r>
        <w:t>•</w:t>
      </w:r>
      <w:r>
        <w:tab/>
        <w:t>Portabilidade de benefícios e direitos sociais a nível nacional e regional;</w:t>
      </w:r>
    </w:p>
    <w:p w14:paraId="49D7358E" w14:textId="77777777" w:rsidR="004B5FEB" w:rsidRDefault="004B5FEB" w:rsidP="006E1925">
      <w:pPr>
        <w:pStyle w:val="TEXTE"/>
        <w:spacing w:after="60"/>
        <w:ind w:left="1456" w:hanging="322"/>
      </w:pPr>
      <w:r>
        <w:t>•</w:t>
      </w:r>
      <w:r>
        <w:tab/>
        <w:t>Abrangência e inclusão de proteção social para trabalhadores migrantes e seus dependentes; e,</w:t>
      </w:r>
    </w:p>
    <w:p w14:paraId="602E5CA7" w14:textId="77777777" w:rsidR="004B5FEB" w:rsidRDefault="004B5FEB" w:rsidP="006E1925">
      <w:pPr>
        <w:pStyle w:val="TEXTE"/>
        <w:spacing w:after="60"/>
        <w:ind w:left="1456" w:hanging="322"/>
      </w:pPr>
      <w:r>
        <w:t>•</w:t>
      </w:r>
      <w:r>
        <w:tab/>
        <w:t>Capacitação da sociedade civil e dos parceiros sociais em termos de proteção civil.</w:t>
      </w:r>
    </w:p>
    <w:p w14:paraId="4F0ED9D4" w14:textId="7CFB1D20" w:rsidR="004B5FEB" w:rsidRDefault="004B5FEB" w:rsidP="006E1925">
      <w:pPr>
        <w:pStyle w:val="TEXTE"/>
        <w:spacing w:after="60"/>
        <w:ind w:left="1456" w:hanging="322"/>
      </w:pPr>
      <w:r>
        <w:t>•</w:t>
      </w:r>
      <w:r>
        <w:tab/>
        <w:t>Onde é que as atividades têm lugar?</w:t>
      </w:r>
    </w:p>
    <w:p w14:paraId="6C842DD1" w14:textId="77777777" w:rsidR="00FB1E0F" w:rsidRDefault="00FB1E0F" w:rsidP="00D27279">
      <w:pPr>
        <w:pStyle w:val="TEXTE"/>
        <w:spacing w:after="60"/>
        <w:ind w:left="1134"/>
      </w:pPr>
    </w:p>
    <w:p w14:paraId="69358FDF" w14:textId="0EAB76C1" w:rsidR="00FB1E0F" w:rsidRPr="00FB1E0F" w:rsidRDefault="00FB1E0F" w:rsidP="00FB1E0F">
      <w:pPr>
        <w:pStyle w:val="Heading2"/>
        <w:rPr>
          <w:rFonts w:eastAsia="Calibri"/>
        </w:rPr>
      </w:pPr>
      <w:bookmarkStart w:id="20" w:name="_Toc492548727"/>
      <w:r>
        <w:t>Princípios de cooperação d</w:t>
      </w:r>
      <w:r w:rsidR="00736CF8">
        <w:t>e</w:t>
      </w:r>
      <w:r>
        <w:t xml:space="preserve"> SOCIEUX+</w:t>
      </w:r>
      <w:bookmarkEnd w:id="20"/>
    </w:p>
    <w:p w14:paraId="46DD3F91" w14:textId="77777777" w:rsidR="00FB1E0F" w:rsidRPr="00FB1E0F" w:rsidRDefault="00FB1E0F" w:rsidP="00FB1E0F">
      <w:pPr>
        <w:pStyle w:val="TEXTE"/>
        <w:rPr>
          <w:b/>
        </w:rPr>
      </w:pPr>
      <w:r>
        <w:rPr>
          <w:b/>
        </w:rPr>
        <w:t>Todas as ações e respetivas atividades baseiam-se nos princípios de:</w:t>
      </w:r>
    </w:p>
    <w:p w14:paraId="30DC8A8C" w14:textId="2C7DEAE0" w:rsidR="00FB1E0F" w:rsidRPr="00AB0AB6" w:rsidRDefault="00FB1E0F" w:rsidP="00B74A9E">
      <w:pPr>
        <w:pStyle w:val="TEXTE"/>
        <w:numPr>
          <w:ilvl w:val="0"/>
          <w:numId w:val="28"/>
        </w:numPr>
      </w:pPr>
      <w:r>
        <w:t xml:space="preserve">Propriedade – os pedidos e as ações são acionados pela procura e pelas necessidades das </w:t>
      </w:r>
      <w:r w:rsidR="00736CF8">
        <w:t>i</w:t>
      </w:r>
      <w:r>
        <w:t xml:space="preserve">nstituições </w:t>
      </w:r>
      <w:r w:rsidR="00736CF8">
        <w:t>p</w:t>
      </w:r>
      <w:r>
        <w:t>arceiras;</w:t>
      </w:r>
    </w:p>
    <w:p w14:paraId="17BBF3C7" w14:textId="007E7005" w:rsidR="00FB1E0F" w:rsidRPr="00AB0AB6" w:rsidRDefault="00FB1E0F" w:rsidP="00B74A9E">
      <w:pPr>
        <w:pStyle w:val="TEXTE"/>
        <w:numPr>
          <w:ilvl w:val="0"/>
          <w:numId w:val="28"/>
        </w:numPr>
      </w:pPr>
      <w:r>
        <w:t>Dimensão entre pares – as atividades implementadas baseiam-se nas abordagens entre pares de instituições, peritos e profissionais;</w:t>
      </w:r>
    </w:p>
    <w:p w14:paraId="2083E7BF" w14:textId="0D9C2611" w:rsidR="00FB1E0F" w:rsidRPr="00AB0AB6" w:rsidRDefault="00FB1E0F" w:rsidP="00B74A9E">
      <w:pPr>
        <w:pStyle w:val="TEXTE"/>
        <w:numPr>
          <w:ilvl w:val="0"/>
          <w:numId w:val="28"/>
        </w:numPr>
      </w:pPr>
      <w:r>
        <w:t>Preferência de peritos públicos – os peritos mobilizados pertencem essencialmente e de preferência a ministérios e agências públicos ou mandatados de Estados-Membros da UE;</w:t>
      </w:r>
    </w:p>
    <w:p w14:paraId="7F5E44AD" w14:textId="3A6D2122" w:rsidR="00FB1E0F" w:rsidRPr="00AB0AB6" w:rsidRDefault="00FB1E0F" w:rsidP="00B74A9E">
      <w:pPr>
        <w:pStyle w:val="TEXTE"/>
        <w:numPr>
          <w:ilvl w:val="0"/>
          <w:numId w:val="28"/>
        </w:numPr>
      </w:pPr>
      <w:r>
        <w:t>Diversificação de conhecimentos – os peritos mobilizados e as instituições colaboradoras que fornecem conhecimentos pertencem, na medida do possível, a mais do que um país;</w:t>
      </w:r>
    </w:p>
    <w:p w14:paraId="5E7DAD30" w14:textId="079CFB38" w:rsidR="00FB1E0F" w:rsidRPr="00AB0AB6" w:rsidRDefault="00FB1E0F" w:rsidP="00B74A9E">
      <w:pPr>
        <w:pStyle w:val="TEXTE"/>
        <w:numPr>
          <w:ilvl w:val="0"/>
          <w:numId w:val="28"/>
        </w:numPr>
      </w:pPr>
      <w:r>
        <w:t>Colaboração institucional – as ações devem promover a cooperação institucional entre instituições de Estados-Membros da UE e de Países Parceiros;</w:t>
      </w:r>
    </w:p>
    <w:p w14:paraId="1669EC86" w14:textId="2C5E57AE" w:rsidR="00FB1E0F" w:rsidRPr="00AB0AB6" w:rsidRDefault="00FB1E0F" w:rsidP="00B74A9E">
      <w:pPr>
        <w:pStyle w:val="TEXTE"/>
        <w:numPr>
          <w:ilvl w:val="0"/>
          <w:numId w:val="28"/>
        </w:numPr>
      </w:pPr>
      <w:r>
        <w:t>Abordagem estruturada – as atividades de ação estrutural (com mais de uma atividade) são articuladas e todas contribuem para o objetivo específico da ação;</w:t>
      </w:r>
    </w:p>
    <w:p w14:paraId="78A37B3C" w14:textId="75A85D40" w:rsidR="00FB1E0F" w:rsidRPr="00AB0AB6" w:rsidRDefault="00736CF8" w:rsidP="00B74A9E">
      <w:pPr>
        <w:pStyle w:val="TEXTE"/>
        <w:numPr>
          <w:ilvl w:val="0"/>
          <w:numId w:val="28"/>
        </w:numPr>
      </w:pPr>
      <w:r>
        <w:t>C</w:t>
      </w:r>
      <w:r w:rsidR="00FB1E0F">
        <w:t>ooperação triangular – as ações e atividades podem permitir a cooperação entre dois ou mais Países Parceiros , e/ou entre instituições de Países Parceiros e de Estados-Membros da UE;</w:t>
      </w:r>
    </w:p>
    <w:p w14:paraId="32BBB398" w14:textId="0FFC8E4B" w:rsidR="00FB1E0F" w:rsidRPr="00AB0AB6" w:rsidRDefault="00FB1E0F" w:rsidP="00B74A9E">
      <w:pPr>
        <w:pStyle w:val="TEXTE"/>
        <w:numPr>
          <w:ilvl w:val="0"/>
          <w:numId w:val="28"/>
        </w:numPr>
      </w:pPr>
      <w:r>
        <w:t>Sem sobreposição – as ações não se devem sobrepor, mas sim complementar-se e criar sinergias com programas de cooperação existentes financiados pela UE ou por outros parceiros internacionais relevantes;</w:t>
      </w:r>
    </w:p>
    <w:p w14:paraId="65E59F5D" w14:textId="66EB93C2" w:rsidR="00FB1E0F" w:rsidRPr="00AB0AB6" w:rsidRDefault="00FB1E0F" w:rsidP="00B74A9E">
      <w:pPr>
        <w:pStyle w:val="TEXTE"/>
        <w:numPr>
          <w:ilvl w:val="0"/>
          <w:numId w:val="28"/>
        </w:numPr>
      </w:pPr>
      <w:r>
        <w:t xml:space="preserve">Gestão baseada em resultados – as atividades devem ser geridas de forma rápida, adequada e pragmática para a obtenção de resultados definidos pelas ações; e, </w:t>
      </w:r>
    </w:p>
    <w:p w14:paraId="351FA820" w14:textId="76906260" w:rsidR="00FB1E0F" w:rsidRDefault="00FB1E0F" w:rsidP="00B74A9E">
      <w:pPr>
        <w:pStyle w:val="TEXTE"/>
        <w:numPr>
          <w:ilvl w:val="0"/>
          <w:numId w:val="28"/>
        </w:numPr>
      </w:pPr>
      <w:r>
        <w:t>Alta qualidade – os entregáveis das atividades devem satisfazer os padrões elevados de qualidade , mas com limitações de efetividade de custos.</w:t>
      </w:r>
    </w:p>
    <w:p w14:paraId="279E28C2" w14:textId="77777777" w:rsidR="00770343" w:rsidRDefault="00770343" w:rsidP="00770343">
      <w:pPr>
        <w:pStyle w:val="TEXTE"/>
      </w:pPr>
    </w:p>
    <w:p w14:paraId="67F1A607" w14:textId="6009491A" w:rsidR="00770343" w:rsidRPr="004B3684" w:rsidRDefault="00736CF8" w:rsidP="00770343">
      <w:pPr>
        <w:pStyle w:val="Heading2"/>
        <w:rPr>
          <w:rFonts w:eastAsia="Calibri"/>
        </w:rPr>
      </w:pPr>
      <w:bookmarkStart w:id="21" w:name="_Toc492548728"/>
      <w:r>
        <w:t xml:space="preserve">Perícia </w:t>
      </w:r>
      <w:r w:rsidR="00770343">
        <w:t>mobilizad</w:t>
      </w:r>
      <w:r>
        <w:t>a</w:t>
      </w:r>
      <w:bookmarkEnd w:id="21"/>
    </w:p>
    <w:p w14:paraId="3C7B508E" w14:textId="25FB7317" w:rsidR="00770343" w:rsidRPr="004B3684" w:rsidRDefault="00770343" w:rsidP="00770343">
      <w:pPr>
        <w:pStyle w:val="TEXTE"/>
        <w:rPr>
          <w:color w:val="000000"/>
        </w:rPr>
      </w:pPr>
      <w:r>
        <w:rPr>
          <w:color w:val="000000"/>
        </w:rPr>
        <w:t xml:space="preserve">SOCIEUX+ envolve peritos escolhidos essencialmente das </w:t>
      </w:r>
      <w:r>
        <w:rPr>
          <w:b/>
          <w:color w:val="000000"/>
        </w:rPr>
        <w:t xml:space="preserve">administrações públicas dos </w:t>
      </w:r>
      <w:r>
        <w:rPr>
          <w:b/>
        </w:rPr>
        <w:t xml:space="preserve"> Estados-Membros da </w:t>
      </w:r>
      <w:r w:rsidR="00736CF8">
        <w:rPr>
          <w:b/>
        </w:rPr>
        <w:t>UE</w:t>
      </w:r>
      <w:r>
        <w:t xml:space="preserve"> para facilitar a partilha de conhecimento e experiência entre pares. Profissionais de administrações e organismos mandatados de países parceiros também podem trazer valor acrescentado em termos de </w:t>
      </w:r>
      <w:r>
        <w:rPr>
          <w:b/>
          <w:color w:val="000000"/>
        </w:rPr>
        <w:t>cooperação triangular</w:t>
      </w:r>
      <w:r>
        <w:rPr>
          <w:color w:val="000000"/>
        </w:rPr>
        <w:t xml:space="preserve">. </w:t>
      </w:r>
    </w:p>
    <w:p w14:paraId="61CE34A5" w14:textId="1B381DE5" w:rsidR="00770343" w:rsidRPr="004B3684" w:rsidRDefault="00770343" w:rsidP="00770343">
      <w:pPr>
        <w:pStyle w:val="TEXTE"/>
        <w:rPr>
          <w:color w:val="000000"/>
        </w:rPr>
      </w:pPr>
      <w:r>
        <w:rPr>
          <w:color w:val="000000"/>
        </w:rPr>
        <w:t xml:space="preserve">Quando necessário, peritos de outras organizações, tais como organizações internacionais, academias, sociedade civil e consultores privados podem envolver-se nas </w:t>
      </w:r>
      <w:r w:rsidR="00736CF8">
        <w:rPr>
          <w:color w:val="000000"/>
        </w:rPr>
        <w:t>a</w:t>
      </w:r>
      <w:r>
        <w:rPr>
          <w:color w:val="000000"/>
        </w:rPr>
        <w:t>ções d</w:t>
      </w:r>
      <w:r w:rsidR="00736CF8">
        <w:rPr>
          <w:color w:val="000000"/>
        </w:rPr>
        <w:t>e</w:t>
      </w:r>
      <w:r>
        <w:rPr>
          <w:color w:val="000000"/>
        </w:rPr>
        <w:t xml:space="preserve"> SOCIEUX+.</w:t>
      </w:r>
    </w:p>
    <w:p w14:paraId="2D47C86A" w14:textId="52DF9E27" w:rsidR="00FB1E0F" w:rsidRPr="00FB1E0F" w:rsidRDefault="00FB1E0F" w:rsidP="004269CF">
      <w:pPr>
        <w:pStyle w:val="Heading1"/>
        <w:spacing w:after="120"/>
      </w:pPr>
      <w:bookmarkStart w:id="22" w:name="_Toc486863057"/>
      <w:bookmarkStart w:id="23" w:name="_Toc492548729"/>
      <w:r>
        <w:t>Como funciona SOCIEUX+</w:t>
      </w:r>
      <w:bookmarkEnd w:id="22"/>
      <w:bookmarkEnd w:id="23"/>
      <w:r>
        <w:t xml:space="preserve"> </w:t>
      </w:r>
    </w:p>
    <w:p w14:paraId="662532C6" w14:textId="0A6EF014" w:rsidR="005C292C" w:rsidRPr="009568D9" w:rsidRDefault="005C292C" w:rsidP="009568D9">
      <w:pPr>
        <w:pStyle w:val="TEXTE"/>
      </w:pPr>
      <w:r>
        <w:t>SOCIEUX+ é um serviço desencadeado pela procura através do qual as instituições de países parceiros apresentam pedidos num formato simples. A Equipa SOCIEUX+ depois adapta o pedido em colaboração com a Instituição Parceira requerente para assegurar uma cooperação técnica personalizada e bem definida.</w:t>
      </w:r>
    </w:p>
    <w:p w14:paraId="3C19B23E" w14:textId="77777777" w:rsidR="005C292C" w:rsidRPr="0052406B" w:rsidRDefault="005C292C">
      <w:pPr>
        <w:spacing w:after="120" w:line="276" w:lineRule="auto"/>
        <w:jc w:val="both"/>
        <w:rPr>
          <w:rFonts w:eastAsia="Calibri" w:cs="Arial"/>
          <w:color w:val="000000" w:themeColor="text1"/>
          <w:sz w:val="22"/>
          <w:szCs w:val="22"/>
        </w:rPr>
      </w:pPr>
      <w:r w:rsidRPr="0052406B">
        <w:rPr>
          <w:rFonts w:eastAsia="Calibri" w:cs="Arial"/>
          <w:noProof/>
          <w:color w:val="000000" w:themeColor="text1"/>
          <w:sz w:val="22"/>
          <w:szCs w:val="22"/>
          <w:lang w:val="es-ES" w:eastAsia="ja-JP" w:bidi="th-TH"/>
        </w:rPr>
        <w:drawing>
          <wp:inline distT="0" distB="0" distL="0" distR="0" wp14:anchorId="51CEAE07" wp14:editId="00F726A7">
            <wp:extent cx="6184900" cy="1897968"/>
            <wp:effectExtent l="0" t="0" r="635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89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A7FE" w14:textId="77777777" w:rsidR="005C1D8E" w:rsidRPr="004B3684" w:rsidRDefault="005C1D8E" w:rsidP="004B3684">
      <w:pPr>
        <w:spacing w:after="120" w:line="276" w:lineRule="auto"/>
        <w:jc w:val="both"/>
        <w:rPr>
          <w:rFonts w:eastAsia="Calibri" w:cs="Arial"/>
          <w:b/>
          <w:color w:val="000000" w:themeColor="text1"/>
          <w:szCs w:val="18"/>
          <w:lang w:val="en-GB"/>
        </w:rPr>
      </w:pPr>
    </w:p>
    <w:p w14:paraId="3A1AD4C6" w14:textId="0F7ED156" w:rsidR="00961A2E" w:rsidRDefault="00211F0F" w:rsidP="00B74A9E">
      <w:pPr>
        <w:pStyle w:val="Heading2"/>
        <w:rPr>
          <w:rFonts w:eastAsia="Calibri"/>
        </w:rPr>
      </w:pPr>
      <w:bookmarkStart w:id="24" w:name="_Toc492548730"/>
      <w:r>
        <w:t>COMO SE CANDIDATAR</w:t>
      </w:r>
      <w:bookmarkEnd w:id="24"/>
      <w:r>
        <w:t xml:space="preserve">  </w:t>
      </w:r>
    </w:p>
    <w:p w14:paraId="7BDC4E53" w14:textId="25B7E310" w:rsidR="006F6E79" w:rsidRPr="00D36230" w:rsidRDefault="006F6E79" w:rsidP="006F6E79">
      <w:pPr>
        <w:pStyle w:val="TEXTE"/>
      </w:pPr>
      <w:r>
        <w:t xml:space="preserve">Instituições de </w:t>
      </w:r>
      <w:r w:rsidR="004A66A4">
        <w:t>p</w:t>
      </w:r>
      <w:r>
        <w:t xml:space="preserve">aíses </w:t>
      </w:r>
      <w:r w:rsidR="004A66A4">
        <w:t>p</w:t>
      </w:r>
      <w:r>
        <w:t xml:space="preserve">arceiros interessadas são </w:t>
      </w:r>
      <w:r w:rsidRPr="00A878E9">
        <w:t xml:space="preserve">convidadas a </w:t>
      </w:r>
      <w:bookmarkStart w:id="25" w:name="_GoBack"/>
      <w:r w:rsidRPr="00A878E9">
        <w:t>candidatar</w:t>
      </w:r>
      <w:bookmarkEnd w:id="25"/>
      <w:r w:rsidRPr="00A878E9">
        <w:t>-se</w:t>
      </w:r>
      <w:r>
        <w:t xml:space="preserve"> à assistência técnica d</w:t>
      </w:r>
      <w:r w:rsidR="004A66A4">
        <w:t>e</w:t>
      </w:r>
      <w:r>
        <w:t xml:space="preserve"> SOCIEUX+ seguindo as diretrizes apresentadas abaixo:</w:t>
      </w:r>
    </w:p>
    <w:p w14:paraId="4DB5BAF7" w14:textId="1224E13B" w:rsidR="006F6E79" w:rsidRPr="006F6E79" w:rsidRDefault="006F6E79" w:rsidP="006F6E79">
      <w:pPr>
        <w:pStyle w:val="TEXTE"/>
        <w:numPr>
          <w:ilvl w:val="0"/>
          <w:numId w:val="34"/>
        </w:numPr>
      </w:pPr>
      <w:r>
        <w:t xml:space="preserve">O </w:t>
      </w:r>
      <w:r>
        <w:rPr>
          <w:b/>
        </w:rPr>
        <w:t>Formulário de Pedido</w:t>
      </w:r>
      <w:r>
        <w:t xml:space="preserve"> pode ser descarregado do </w:t>
      </w:r>
      <w:hyperlink r:id="rId16" w:history="1">
        <w:r>
          <w:rPr>
            <w:rStyle w:val="Hyperlink"/>
          </w:rPr>
          <w:t>website</w:t>
        </w:r>
      </w:hyperlink>
      <w:r>
        <w:t xml:space="preserve"> do SOCIEUX+. Se tiver dificuldades a descarregar o Formulário de Pedido, é favor contactar a equipa do SOCIEUX+ (</w:t>
      </w:r>
      <w:hyperlink r:id="rId17" w:history="1">
        <w:r>
          <w:rPr>
            <w:rStyle w:val="Hyperlink"/>
          </w:rPr>
          <w:t>contact@socieux.eu</w:t>
        </w:r>
      </w:hyperlink>
      <w:r>
        <w:t>)</w:t>
      </w:r>
    </w:p>
    <w:p w14:paraId="4FD27676" w14:textId="77777777" w:rsidR="006F6E79" w:rsidRPr="006F6E79" w:rsidRDefault="006F6E79" w:rsidP="006F6E79">
      <w:pPr>
        <w:pStyle w:val="TEXTE"/>
        <w:numPr>
          <w:ilvl w:val="0"/>
          <w:numId w:val="34"/>
        </w:numPr>
      </w:pPr>
      <w:r>
        <w:t xml:space="preserve">O Formulário de Pedido deve ser preenchido em </w:t>
      </w:r>
      <w:r>
        <w:rPr>
          <w:b/>
        </w:rPr>
        <w:t>inglês</w:t>
      </w:r>
      <w:r>
        <w:t xml:space="preserve">, </w:t>
      </w:r>
      <w:r>
        <w:rPr>
          <w:b/>
        </w:rPr>
        <w:t>francês</w:t>
      </w:r>
      <w:r>
        <w:t xml:space="preserve">, </w:t>
      </w:r>
      <w:r>
        <w:rPr>
          <w:b/>
        </w:rPr>
        <w:t>espanhol</w:t>
      </w:r>
      <w:r>
        <w:t xml:space="preserve"> ou </w:t>
      </w:r>
      <w:r>
        <w:rPr>
          <w:b/>
        </w:rPr>
        <w:t>português</w:t>
      </w:r>
      <w:r>
        <w:t xml:space="preserve">; </w:t>
      </w:r>
    </w:p>
    <w:p w14:paraId="581779D0" w14:textId="77777777" w:rsidR="006F6E79" w:rsidRPr="006F6E79" w:rsidRDefault="006F6E79" w:rsidP="006F6E79">
      <w:pPr>
        <w:pStyle w:val="TEXTE"/>
        <w:numPr>
          <w:ilvl w:val="0"/>
          <w:numId w:val="34"/>
        </w:numPr>
      </w:pPr>
      <w:r>
        <w:t xml:space="preserve">Anexe os </w:t>
      </w:r>
      <w:r>
        <w:rPr>
          <w:b/>
        </w:rPr>
        <w:t>documentos de suporte e informação relevantes</w:t>
      </w:r>
      <w:r>
        <w:t>;</w:t>
      </w:r>
    </w:p>
    <w:p w14:paraId="17A8FE73" w14:textId="77777777" w:rsidR="006F6E79" w:rsidRPr="006F6E79" w:rsidRDefault="006F6E79" w:rsidP="006F6E79">
      <w:pPr>
        <w:pStyle w:val="TEXTE"/>
        <w:numPr>
          <w:ilvl w:val="0"/>
          <w:numId w:val="34"/>
        </w:numPr>
      </w:pPr>
      <w:r>
        <w:rPr>
          <w:b/>
        </w:rPr>
        <w:t>Assine</w:t>
      </w:r>
      <w:r>
        <w:t xml:space="preserve"> e </w:t>
      </w:r>
      <w:r>
        <w:rPr>
          <w:b/>
        </w:rPr>
        <w:t>date</w:t>
      </w:r>
      <w:r>
        <w:t xml:space="preserve"> o pedido;</w:t>
      </w:r>
    </w:p>
    <w:p w14:paraId="49364C1B" w14:textId="77777777" w:rsidR="006F6E79" w:rsidRPr="006F6E79" w:rsidRDefault="006F6E79" w:rsidP="006F6E79">
      <w:pPr>
        <w:pStyle w:val="TEXTE"/>
        <w:numPr>
          <w:ilvl w:val="0"/>
          <w:numId w:val="34"/>
        </w:numPr>
      </w:pPr>
      <w:r>
        <w:t xml:space="preserve">É favor carregar o Formulário de Pedido no </w:t>
      </w:r>
      <w:r>
        <w:rPr>
          <w:b/>
        </w:rPr>
        <w:t xml:space="preserve">SOCIEUX+ </w:t>
      </w:r>
      <w:r>
        <w:t xml:space="preserve"> ou envie-o através de </w:t>
      </w:r>
      <w:r>
        <w:rPr>
          <w:b/>
        </w:rPr>
        <w:t>e-mail</w:t>
      </w:r>
      <w:r>
        <w:t xml:space="preserve"> ou </w:t>
      </w:r>
      <w:r>
        <w:rPr>
          <w:b/>
        </w:rPr>
        <w:t>carta</w:t>
      </w:r>
      <w:r>
        <w:t xml:space="preserve"> para:</w:t>
      </w:r>
    </w:p>
    <w:p w14:paraId="431288D7" w14:textId="77777777" w:rsidR="006F6E79" w:rsidRPr="0052406B" w:rsidRDefault="006F6E79" w:rsidP="007471E1">
      <w:pPr>
        <w:pStyle w:val="TEXTE"/>
      </w:pPr>
    </w:p>
    <w:p w14:paraId="39188290" w14:textId="77777777" w:rsidR="006F6E79" w:rsidRPr="004B3684" w:rsidRDefault="006F6E79" w:rsidP="00770343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000000" w:themeColor="text1"/>
        </w:rPr>
      </w:pPr>
      <w:r>
        <w:rPr>
          <w:color w:val="000000" w:themeColor="text1"/>
        </w:rPr>
        <w:t>SOCIEUX+ Iniciativa da UE para a Proteção Social, Trabalho e Emprego</w:t>
      </w:r>
    </w:p>
    <w:p w14:paraId="1FD2F20C" w14:textId="77777777" w:rsidR="00770343" w:rsidRPr="006E1925" w:rsidRDefault="006F6E79" w:rsidP="00770343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lang w:val="fr-FR"/>
        </w:rPr>
      </w:pPr>
      <w:r w:rsidRPr="006E1925">
        <w:rPr>
          <w:lang w:val="fr-FR"/>
        </w:rPr>
        <w:t>FPS Social Security – Boulevard du Jardin Botanique 50, Boîte 135</w:t>
      </w:r>
    </w:p>
    <w:p w14:paraId="3AF40837" w14:textId="7A9C784B" w:rsidR="006F6E79" w:rsidRPr="006E1925" w:rsidRDefault="006F6E79" w:rsidP="00770343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6E1925">
        <w:rPr>
          <w:lang w:val="it-IT"/>
        </w:rPr>
        <w:t xml:space="preserve">Telefone: +32 (0) 252 86629 / E-mail: </w:t>
      </w:r>
      <w:hyperlink r:id="rId18" w:history="1">
        <w:r w:rsidRPr="006E1925">
          <w:rPr>
            <w:rStyle w:val="Hyperlink"/>
            <w:lang w:val="it-IT"/>
          </w:rPr>
          <w:t>requests@socieux.eu</w:t>
        </w:r>
      </w:hyperlink>
      <w:r w:rsidRPr="006E1925">
        <w:rPr>
          <w:lang w:val="it-IT"/>
        </w:rPr>
        <w:t xml:space="preserve"> </w:t>
      </w:r>
    </w:p>
    <w:p w14:paraId="3EEBEC7D" w14:textId="77777777" w:rsidR="006F6E79" w:rsidRPr="006E1925" w:rsidRDefault="006F6E79" w:rsidP="006F6E79">
      <w:pPr>
        <w:rPr>
          <w:lang w:val="it-IT"/>
        </w:rPr>
      </w:pPr>
    </w:p>
    <w:p w14:paraId="5FBFCF74" w14:textId="4BE49884" w:rsidR="00770343" w:rsidRDefault="00770343" w:rsidP="00770343">
      <w:pPr>
        <w:pStyle w:val="Heading2"/>
      </w:pPr>
      <w:bookmarkStart w:id="26" w:name="_Toc492548731"/>
      <w:r>
        <w:t>CRITÉRIOS DE AVALIAÇÃO</w:t>
      </w:r>
      <w:bookmarkEnd w:id="26"/>
      <w:r>
        <w:t xml:space="preserve"> </w:t>
      </w:r>
    </w:p>
    <w:p w14:paraId="06205EA8" w14:textId="5C8678DE" w:rsidR="003B48FD" w:rsidRPr="00D36230" w:rsidRDefault="00961A2E" w:rsidP="006D38A8">
      <w:pPr>
        <w:pStyle w:val="TEXTE"/>
      </w:pPr>
      <w:r w:rsidRPr="00A878E9">
        <w:t>Os pedidos para ações de assistência técnica serão avaliados e aprovados</w:t>
      </w:r>
      <w:r>
        <w:t xml:space="preserve"> com base nos seguintes critérios:</w:t>
      </w:r>
    </w:p>
    <w:p w14:paraId="22DBFBA5" w14:textId="77777777" w:rsidR="003B48FD" w:rsidRPr="006D38A8" w:rsidRDefault="008078D1" w:rsidP="006D38A8">
      <w:pPr>
        <w:pStyle w:val="TEXTE"/>
        <w:rPr>
          <w:b/>
        </w:rPr>
      </w:pPr>
      <w:r>
        <w:rPr>
          <w:b/>
        </w:rPr>
        <w:t>Requisitos básicos de elegibilidade</w:t>
      </w:r>
    </w:p>
    <w:p w14:paraId="6C51ADA6" w14:textId="1A8EB5AE" w:rsidR="001110FF" w:rsidRPr="00D36230" w:rsidRDefault="00563B58" w:rsidP="006D38A8">
      <w:pPr>
        <w:pStyle w:val="TEXTE"/>
        <w:numPr>
          <w:ilvl w:val="0"/>
          <w:numId w:val="30"/>
        </w:numPr>
      </w:pPr>
      <w:r>
        <w:t>O pedido tem origem num país abrangido pelo âmbito geográfico de intervenção d</w:t>
      </w:r>
      <w:r w:rsidR="004A66A4">
        <w:t>e</w:t>
      </w:r>
      <w:r>
        <w:t xml:space="preserve"> SOCIEUX+? (ver Anexo 1)</w:t>
      </w:r>
    </w:p>
    <w:p w14:paraId="147FA8CD" w14:textId="77777777" w:rsidR="00961A2E" w:rsidRPr="00D36230" w:rsidRDefault="00642C05" w:rsidP="006D38A8">
      <w:pPr>
        <w:pStyle w:val="TEXTE"/>
        <w:numPr>
          <w:ilvl w:val="0"/>
          <w:numId w:val="30"/>
        </w:numPr>
      </w:pPr>
      <w:r>
        <w:t>A instituição que está a apresentar um pedido é uma autoridade pública, um organismo mandatado ou um parceiro social?</w:t>
      </w:r>
    </w:p>
    <w:p w14:paraId="007B7EBE" w14:textId="6FDC9805" w:rsidR="00A20A05" w:rsidRPr="00D36230" w:rsidRDefault="00D06F37" w:rsidP="006D38A8">
      <w:pPr>
        <w:pStyle w:val="TEXTE"/>
        <w:numPr>
          <w:ilvl w:val="0"/>
          <w:numId w:val="30"/>
        </w:numPr>
      </w:pPr>
      <w:r>
        <w:t>O objeto do pedido encontra-se no campo da iniciativa d</w:t>
      </w:r>
      <w:r w:rsidR="00397C33">
        <w:t>e</w:t>
      </w:r>
      <w:r>
        <w:t xml:space="preserve"> SOCIEUX+?</w:t>
      </w:r>
    </w:p>
    <w:p w14:paraId="53B4E1B6" w14:textId="16CF075E" w:rsidR="00A20A05" w:rsidRPr="006D38A8" w:rsidRDefault="00961A2E" w:rsidP="006D38A8">
      <w:pPr>
        <w:pStyle w:val="TEXTE"/>
        <w:rPr>
          <w:b/>
        </w:rPr>
      </w:pPr>
      <w:r>
        <w:rPr>
          <w:b/>
        </w:rPr>
        <w:t>Consistência e Complementaridade   </w:t>
      </w:r>
    </w:p>
    <w:p w14:paraId="139B1573" w14:textId="7CC0E06A" w:rsidR="00A20A05" w:rsidRPr="00D36230" w:rsidRDefault="00961A2E" w:rsidP="006D38A8">
      <w:pPr>
        <w:pStyle w:val="TEXTE"/>
        <w:numPr>
          <w:ilvl w:val="0"/>
          <w:numId w:val="31"/>
        </w:numPr>
      </w:pPr>
      <w:r>
        <w:t xml:space="preserve">O pedido está em linha com as políticas e estratégias nacionais? Se sim, explique de forma breve e descreva estas políticas e estratégias. De que forma estas se relacionam com os objetivos do seu Pedido? </w:t>
      </w:r>
    </w:p>
    <w:p w14:paraId="73A6AB70" w14:textId="7BFBF394" w:rsidR="00EC0583" w:rsidRPr="00D36230" w:rsidRDefault="00961A2E" w:rsidP="006D38A8">
      <w:pPr>
        <w:pStyle w:val="TEXTE"/>
        <w:numPr>
          <w:ilvl w:val="0"/>
          <w:numId w:val="31"/>
        </w:numPr>
      </w:pPr>
      <w:r>
        <w:t>Existe alguma iniciativa (ou parceiro) da UE existente ou anterior com o qual está atualmente ou planeia colaborar na mesma área proposta de assistência técnica? Se sim, é favor indicar os participantes de intervenção líderes e os parceiros internacionais. É favor explicar também brevemente como é que o SOCIEUX+ os irá complementar.</w:t>
      </w:r>
    </w:p>
    <w:p w14:paraId="6B4007E1" w14:textId="419F1C16" w:rsidR="00961A2E" w:rsidRPr="006D38A8" w:rsidRDefault="00961A2E" w:rsidP="006D38A8">
      <w:pPr>
        <w:pStyle w:val="TEXTE"/>
        <w:rPr>
          <w:b/>
        </w:rPr>
      </w:pPr>
      <w:r>
        <w:rPr>
          <w:b/>
        </w:rPr>
        <w:t>Sustentabilidade</w:t>
      </w:r>
    </w:p>
    <w:p w14:paraId="1990D9AB" w14:textId="10056278" w:rsidR="00A05876" w:rsidRPr="00D36230" w:rsidRDefault="00961A2E" w:rsidP="006D38A8">
      <w:pPr>
        <w:pStyle w:val="TEXTE"/>
        <w:numPr>
          <w:ilvl w:val="0"/>
          <w:numId w:val="32"/>
        </w:numPr>
      </w:pPr>
      <w:r>
        <w:t>Os resultados esperados do Pedido são relevantes para o desenvolvimento e/ou sustentabilidade das políticas de sistemas de proteção social, emprego e trabalho no seu país? Se sim, explique como, de forma breve.</w:t>
      </w:r>
    </w:p>
    <w:p w14:paraId="144E105E" w14:textId="35339483" w:rsidR="00961A2E" w:rsidRPr="00D36230" w:rsidRDefault="00961A2E" w:rsidP="006D38A8">
      <w:pPr>
        <w:pStyle w:val="TEXTE"/>
        <w:numPr>
          <w:ilvl w:val="0"/>
          <w:numId w:val="32"/>
        </w:numPr>
      </w:pPr>
      <w:r>
        <w:t>O pedido de assistência técnica é relevante para o desenvolvimento de competências da sua instituição? Se sim, explique como, de forma breve. </w:t>
      </w:r>
    </w:p>
    <w:p w14:paraId="70AB027A" w14:textId="2EC5D803" w:rsidR="00961A2E" w:rsidRPr="006D38A8" w:rsidRDefault="00961A2E" w:rsidP="006D38A8">
      <w:pPr>
        <w:pStyle w:val="TEXTE"/>
        <w:rPr>
          <w:b/>
        </w:rPr>
      </w:pPr>
      <w:r>
        <w:rPr>
          <w:b/>
        </w:rPr>
        <w:t>Viabilidade</w:t>
      </w:r>
    </w:p>
    <w:p w14:paraId="4B632917" w14:textId="12D0134D" w:rsidR="00961A2E" w:rsidRPr="00D36230" w:rsidRDefault="00961A2E" w:rsidP="006D38A8">
      <w:pPr>
        <w:pStyle w:val="TEXTE"/>
        <w:numPr>
          <w:ilvl w:val="0"/>
          <w:numId w:val="33"/>
        </w:numPr>
      </w:pPr>
      <w:r>
        <w:t>Está interessado no apoio técnico de uma instituição da UE em particular e/ou administração de um Estado-Membro da UE e/ou de uma agência mandatada? Se sim, certifique-se de que nos fornece o nome e/ou país dessa instituição. </w:t>
      </w:r>
    </w:p>
    <w:p w14:paraId="362C2A9A" w14:textId="77777777" w:rsidR="00961A2E" w:rsidRPr="00D36230" w:rsidRDefault="00961A2E" w:rsidP="006D38A8">
      <w:pPr>
        <w:pStyle w:val="TEXTE"/>
        <w:numPr>
          <w:ilvl w:val="0"/>
          <w:numId w:val="33"/>
        </w:numPr>
      </w:pPr>
      <w:r>
        <w:t>Existem instituições na sua região de cuja experiência poderia beneficiar para a implementação da ação proposta? Se sim, certifique-se de que nos fornece o nome e/ou país dessa instituição. </w:t>
      </w:r>
    </w:p>
    <w:p w14:paraId="4A298E0C" w14:textId="1BBBD945" w:rsidR="00961A2E" w:rsidRPr="00D36230" w:rsidRDefault="00961A2E" w:rsidP="00770343">
      <w:pPr>
        <w:pStyle w:val="Heading2"/>
        <w:rPr>
          <w:rFonts w:eastAsia="Calibri"/>
        </w:rPr>
      </w:pPr>
      <w:bookmarkStart w:id="27" w:name="_Toc486862880"/>
      <w:bookmarkStart w:id="28" w:name="_Toc492548732"/>
      <w:r>
        <w:t>Aprovação do pedido</w:t>
      </w:r>
      <w:bookmarkEnd w:id="27"/>
      <w:bookmarkEnd w:id="28"/>
    </w:p>
    <w:p w14:paraId="73A0F598" w14:textId="0E6E323B" w:rsidR="00770343" w:rsidRDefault="00692B62" w:rsidP="00A878E9">
      <w:pPr>
        <w:pStyle w:val="ListParagraph"/>
        <w:autoSpaceDE w:val="0"/>
        <w:adjustRightInd w:val="0"/>
        <w:spacing w:after="68" w:line="276" w:lineRule="auto"/>
        <w:ind w:left="432"/>
        <w:rPr>
          <w:rFonts w:ascii="Verdana" w:eastAsia="Calibri" w:hAnsi="Verdana" w:cs="Arial"/>
          <w:b/>
          <w:color w:val="000000" w:themeColor="text1"/>
          <w:szCs w:val="18"/>
        </w:rPr>
      </w:pPr>
      <w:r>
        <w:rPr>
          <w:rFonts w:ascii="Verdana" w:hAnsi="Verdana"/>
          <w:color w:val="000000"/>
          <w:szCs w:val="18"/>
        </w:rPr>
        <w:t>Os pedidos são analisados e avaliados de acordo com os critérios acima apresentados pela equipa d</w:t>
      </w:r>
      <w:r w:rsidR="00397C33">
        <w:rPr>
          <w:rFonts w:ascii="Verdana" w:hAnsi="Verdana"/>
          <w:color w:val="000000"/>
          <w:szCs w:val="18"/>
        </w:rPr>
        <w:t>e</w:t>
      </w:r>
      <w:r>
        <w:rPr>
          <w:rFonts w:ascii="Verdana" w:hAnsi="Verdana"/>
          <w:color w:val="000000"/>
          <w:szCs w:val="18"/>
        </w:rPr>
        <w:t xml:space="preserve"> SOCIEUX+. A decisão final será comunicada por e-mail à(s) instituição(ões) cerca de três semanas após a receção do pedido.</w:t>
      </w:r>
    </w:p>
    <w:p w14:paraId="2E1E9D78" w14:textId="77777777" w:rsidR="00770343" w:rsidRDefault="00770343" w:rsidP="00770343">
      <w:pPr>
        <w:pStyle w:val="ListParagraph"/>
        <w:autoSpaceDE w:val="0"/>
        <w:adjustRightInd w:val="0"/>
        <w:spacing w:after="68" w:line="276" w:lineRule="auto"/>
        <w:ind w:left="0"/>
        <w:rPr>
          <w:rFonts w:ascii="Verdana" w:eastAsia="Calibri" w:hAnsi="Verdana" w:cs="Arial"/>
          <w:b/>
          <w:color w:val="000000" w:themeColor="text1"/>
          <w:szCs w:val="18"/>
        </w:rPr>
      </w:pPr>
    </w:p>
    <w:p w14:paraId="2E636E49" w14:textId="77777777" w:rsidR="00961A2E" w:rsidRPr="004B3684" w:rsidRDefault="00961A2E" w:rsidP="002558F6">
      <w:pPr>
        <w:pStyle w:val="Heading1"/>
      </w:pPr>
      <w:bookmarkStart w:id="29" w:name="_Toc486862882"/>
      <w:bookmarkStart w:id="30" w:name="_Toc492548733"/>
      <w:r>
        <w:t>Finanças e logística</w:t>
      </w:r>
      <w:bookmarkEnd w:id="29"/>
      <w:bookmarkEnd w:id="30"/>
      <w:r>
        <w:t xml:space="preserve"> </w:t>
      </w:r>
    </w:p>
    <w:p w14:paraId="30DBD9B2" w14:textId="77777777" w:rsidR="002558F6" w:rsidRDefault="00961A2E" w:rsidP="00934C63">
      <w:pPr>
        <w:pStyle w:val="TEXTE"/>
        <w:rPr>
          <w:rFonts w:eastAsia="Calibri"/>
        </w:rPr>
      </w:pPr>
      <w:r>
        <w:t xml:space="preserve"> </w:t>
      </w:r>
      <w:bookmarkStart w:id="31" w:name="_Toc486862883"/>
    </w:p>
    <w:p w14:paraId="378AAEAD" w14:textId="3489AE51" w:rsidR="00961A2E" w:rsidRPr="00D36230" w:rsidRDefault="00961A2E" w:rsidP="002558F6">
      <w:pPr>
        <w:pStyle w:val="Heading2"/>
        <w:rPr>
          <w:rFonts w:eastAsia="Calibri"/>
        </w:rPr>
      </w:pPr>
      <w:bookmarkStart w:id="32" w:name="_Toc492548734"/>
      <w:r>
        <w:t xml:space="preserve">Custos abrangidos </w:t>
      </w:r>
      <w:r w:rsidR="00397C33">
        <w:t xml:space="preserve">por </w:t>
      </w:r>
      <w:r>
        <w:t>SOCIEUX+</w:t>
      </w:r>
      <w:bookmarkEnd w:id="31"/>
      <w:bookmarkEnd w:id="32"/>
      <w:r>
        <w:t xml:space="preserve"> </w:t>
      </w:r>
    </w:p>
    <w:p w14:paraId="5E5BF99D" w14:textId="0A2DF569" w:rsidR="00D6375D" w:rsidRPr="00D36230" w:rsidRDefault="00D6375D" w:rsidP="00934C63">
      <w:pPr>
        <w:pStyle w:val="TEXTE"/>
      </w:pPr>
      <w:r>
        <w:t>Para todas as ações realizadas ao abrigo d</w:t>
      </w:r>
      <w:r w:rsidR="00397C33">
        <w:t>e</w:t>
      </w:r>
      <w:r>
        <w:t xml:space="preserve"> SOCIEUX+, poderão ser cobertos os seguintes custos:</w:t>
      </w:r>
    </w:p>
    <w:p w14:paraId="0983E2EA" w14:textId="77777777" w:rsidR="00D6375D" w:rsidRPr="00D36230" w:rsidRDefault="00D6375D" w:rsidP="00934C63">
      <w:pPr>
        <w:pStyle w:val="TEXTE"/>
        <w:numPr>
          <w:ilvl w:val="0"/>
          <w:numId w:val="35"/>
        </w:numPr>
      </w:pPr>
      <w:r>
        <w:t>Compensação financeira, viagens e alojamento para os peritos contratados</w:t>
      </w:r>
    </w:p>
    <w:p w14:paraId="23A4ED8C" w14:textId="77777777" w:rsidR="00D6375D" w:rsidRPr="00D36230" w:rsidRDefault="00D6375D" w:rsidP="00934C63">
      <w:pPr>
        <w:pStyle w:val="TEXTE"/>
        <w:numPr>
          <w:ilvl w:val="0"/>
          <w:numId w:val="35"/>
        </w:numPr>
      </w:pPr>
      <w:r>
        <w:t>Tradução de documentos</w:t>
      </w:r>
    </w:p>
    <w:p w14:paraId="0939D2BA" w14:textId="77777777" w:rsidR="00D6375D" w:rsidRPr="00D36230" w:rsidRDefault="00D6375D" w:rsidP="00934C63">
      <w:pPr>
        <w:pStyle w:val="TEXTE"/>
        <w:numPr>
          <w:ilvl w:val="0"/>
          <w:numId w:val="35"/>
        </w:numPr>
      </w:pPr>
      <w:r>
        <w:t xml:space="preserve">Intérpretes </w:t>
      </w:r>
    </w:p>
    <w:p w14:paraId="0A55EC43" w14:textId="77777777" w:rsidR="00D6375D" w:rsidRPr="00D36230" w:rsidRDefault="00D6375D" w:rsidP="00934C63">
      <w:pPr>
        <w:pStyle w:val="TEXTE"/>
        <w:numPr>
          <w:ilvl w:val="0"/>
          <w:numId w:val="35"/>
        </w:numPr>
      </w:pPr>
      <w:r>
        <w:t>Para workshops ou seminários: custos de local, catering, intérpretes, sob determinadas condições (ver abaixo).</w:t>
      </w:r>
    </w:p>
    <w:p w14:paraId="260A7A76" w14:textId="09004B1B" w:rsidR="00124CBE" w:rsidRDefault="00D6375D" w:rsidP="00934C63">
      <w:pPr>
        <w:pStyle w:val="TEXTE"/>
      </w:pPr>
      <w:r>
        <w:t xml:space="preserve">Os peritos pertencentes ao pessoal de uma instituição parceira que beneficie de uma ação não têm direito a subsídios se a sua organização for a beneficiária da ação. </w:t>
      </w:r>
    </w:p>
    <w:p w14:paraId="7C37BA51" w14:textId="77777777" w:rsidR="000D3A7A" w:rsidRPr="00D36230" w:rsidRDefault="000D3A7A" w:rsidP="00934C63">
      <w:pPr>
        <w:pStyle w:val="TEXTE"/>
      </w:pPr>
    </w:p>
    <w:p w14:paraId="30705711" w14:textId="655C24C0" w:rsidR="00D6375D" w:rsidRPr="00D36230" w:rsidRDefault="00D6375D" w:rsidP="00934C63">
      <w:pPr>
        <w:pStyle w:val="Heading2"/>
        <w:rPr>
          <w:rFonts w:eastAsia="Calibri"/>
        </w:rPr>
      </w:pPr>
      <w:bookmarkStart w:id="33" w:name="_Toc486862884"/>
      <w:bookmarkStart w:id="34" w:name="_Toc492548735"/>
      <w:r>
        <w:t xml:space="preserve">Envolvimento da </w:t>
      </w:r>
      <w:r w:rsidR="00397C33">
        <w:t>I</w:t>
      </w:r>
      <w:r>
        <w:t xml:space="preserve">nstituição </w:t>
      </w:r>
      <w:r w:rsidR="00397C33">
        <w:t>P</w:t>
      </w:r>
      <w:r>
        <w:t>arceira</w:t>
      </w:r>
      <w:bookmarkEnd w:id="33"/>
      <w:bookmarkEnd w:id="34"/>
      <w:r>
        <w:t xml:space="preserve"> </w:t>
      </w:r>
    </w:p>
    <w:p w14:paraId="60C90788" w14:textId="581A8C57" w:rsidR="00D6375D" w:rsidRDefault="00D6375D" w:rsidP="00934C63">
      <w:pPr>
        <w:pStyle w:val="TEXTE"/>
      </w:pPr>
      <w:r>
        <w:t xml:space="preserve">A </w:t>
      </w:r>
      <w:r w:rsidR="00397C33">
        <w:t>I</w:t>
      </w:r>
      <w:r>
        <w:t xml:space="preserve">nstituição </w:t>
      </w:r>
      <w:r w:rsidR="00397C33">
        <w:t>P</w:t>
      </w:r>
      <w:r>
        <w:t xml:space="preserve">arceira deverá estar ativamente envolvida na definição das necessidades logísticas da missão e respetiva preparação. Deverá contribuir para estas em espécie ou financeiramente (por exemplo, disponibilizando salas de reuniões, interpretação ou pessoas capacitadas para a atividade). Também poderá ser pedido que prepare e execute arranjos logísticos. </w:t>
      </w:r>
    </w:p>
    <w:p w14:paraId="46017B66" w14:textId="77777777" w:rsidR="000D3A7A" w:rsidRPr="00D36230" w:rsidRDefault="000D3A7A" w:rsidP="00934C63">
      <w:pPr>
        <w:pStyle w:val="TEXTE"/>
      </w:pPr>
    </w:p>
    <w:p w14:paraId="0C05FE60" w14:textId="77777777" w:rsidR="008A7B8B" w:rsidRDefault="008A7B8B">
      <w:pPr>
        <w:rPr>
          <w:rFonts w:eastAsia="Times New Roman" w:cs="Arial"/>
          <w:b/>
          <w:i/>
          <w:sz w:val="22"/>
          <w:szCs w:val="22"/>
        </w:rPr>
      </w:pPr>
      <w:bookmarkStart w:id="35" w:name="_Toc486862886"/>
      <w:bookmarkStart w:id="36" w:name="_Toc486862891"/>
      <w:bookmarkEnd w:id="35"/>
      <w:r>
        <w:br w:type="page"/>
      </w:r>
    </w:p>
    <w:p w14:paraId="23FB76C3" w14:textId="7D6C786D" w:rsidR="00961A2E" w:rsidRPr="0052406B" w:rsidRDefault="00961A2E" w:rsidP="000C1CAB">
      <w:pPr>
        <w:pStyle w:val="Heading2"/>
      </w:pPr>
      <w:bookmarkStart w:id="37" w:name="_Toc492548736"/>
      <w:r>
        <w:t>Anexo 1. Lista de países elegíveis ao abrigo d</w:t>
      </w:r>
      <w:r w:rsidR="00397C33">
        <w:t>e</w:t>
      </w:r>
      <w:r>
        <w:t xml:space="preserve"> SOCIEUX+</w:t>
      </w:r>
      <w:r w:rsidRPr="0052406B">
        <w:rPr>
          <w:rStyle w:val="FootnoteReference"/>
        </w:rPr>
        <w:footnoteReference w:id="2"/>
      </w:r>
      <w:bookmarkEnd w:id="36"/>
      <w:bookmarkEnd w:id="37"/>
    </w:p>
    <w:p w14:paraId="24A12350" w14:textId="77777777" w:rsidR="00961A2E" w:rsidRPr="00D36230" w:rsidRDefault="00961A2E" w:rsidP="00497DB5">
      <w:pPr>
        <w:pStyle w:val="TEXTE"/>
        <w:ind w:left="0" w:firstLine="11"/>
      </w:pPr>
      <w:r>
        <w:t xml:space="preserve">Ao abrigo do </w:t>
      </w:r>
      <w:r>
        <w:rPr>
          <w:b/>
        </w:rPr>
        <w:t>Instrumento de Desenvolvimento e Cooperação da UE</w:t>
      </w:r>
      <w:r>
        <w:t xml:space="preserve"> (programas geográficos de IDC)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115"/>
        <w:gridCol w:w="1287"/>
        <w:gridCol w:w="1521"/>
        <w:gridCol w:w="1812"/>
        <w:gridCol w:w="2123"/>
      </w:tblGrid>
      <w:tr w:rsidR="00497DB5" w:rsidRPr="00C56C88" w14:paraId="4FFEDCA0" w14:textId="77777777" w:rsidTr="004269CF"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B186" w14:textId="77777777" w:rsidR="00497DB5" w:rsidRPr="00C56C88" w:rsidRDefault="00497DB5" w:rsidP="004269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América Latina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4721" w14:textId="77777777" w:rsidR="00497DB5" w:rsidRPr="00C56C88" w:rsidRDefault="00497DB5" w:rsidP="004269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Ásia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BAF2" w14:textId="77777777" w:rsidR="00497DB5" w:rsidRPr="00C56C88" w:rsidRDefault="00497DB5" w:rsidP="004269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Ásia Central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965B" w14:textId="77777777" w:rsidR="00497DB5" w:rsidRPr="00C56C88" w:rsidRDefault="00497DB5" w:rsidP="004269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Médio Oriente</w:t>
            </w:r>
          </w:p>
        </w:tc>
      </w:tr>
      <w:tr w:rsidR="00497DB5" w:rsidRPr="00C56C88" w14:paraId="0758F9E3" w14:textId="77777777" w:rsidTr="004269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8EBB" w14:textId="77777777" w:rsidR="006E1925" w:rsidRPr="001437DD" w:rsidRDefault="006E1925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1437DD">
              <w:rPr>
                <w:rFonts w:asciiTheme="minorHAnsi" w:hAnsiTheme="minorHAnsi"/>
                <w:sz w:val="22"/>
                <w:szCs w:val="22"/>
                <w:lang w:val="it-IT"/>
              </w:rPr>
              <w:t>Argentina</w:t>
            </w:r>
          </w:p>
          <w:p w14:paraId="330E99D0" w14:textId="77777777" w:rsidR="006E1925" w:rsidRPr="001437DD" w:rsidRDefault="006E1925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1437DD">
              <w:rPr>
                <w:rFonts w:asciiTheme="minorHAnsi" w:hAnsiTheme="minorHAnsi"/>
                <w:sz w:val="22"/>
                <w:szCs w:val="22"/>
                <w:lang w:val="it-IT"/>
              </w:rPr>
              <w:t>Bolívia</w:t>
            </w:r>
          </w:p>
          <w:p w14:paraId="522FA065" w14:textId="77777777" w:rsidR="006E1925" w:rsidRPr="001437DD" w:rsidRDefault="006E1925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1437DD">
              <w:rPr>
                <w:rFonts w:asciiTheme="minorHAnsi" w:hAnsiTheme="minorHAnsi"/>
                <w:sz w:val="22"/>
                <w:szCs w:val="22"/>
                <w:lang w:val="it-IT"/>
              </w:rPr>
              <w:t>Brasil</w:t>
            </w:r>
          </w:p>
          <w:p w14:paraId="082928BF" w14:textId="77777777" w:rsidR="006E1925" w:rsidRPr="001437DD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hyperlink r:id="rId19" w:history="1">
              <w:r w:rsidR="006E1925" w:rsidRPr="001437DD">
                <w:rPr>
                  <w:rFonts w:asciiTheme="minorHAnsi" w:hAnsiTheme="minorHAnsi"/>
                  <w:sz w:val="22"/>
                  <w:szCs w:val="22"/>
                  <w:lang w:val="it-IT"/>
                </w:rPr>
                <w:t>Chile</w:t>
              </w:r>
            </w:hyperlink>
          </w:p>
          <w:p w14:paraId="2E0CEA00" w14:textId="77777777" w:rsidR="006E1925" w:rsidRPr="001437DD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hyperlink r:id="rId20" w:history="1">
              <w:r w:rsidR="006E1925" w:rsidRPr="001437DD">
                <w:rPr>
                  <w:rFonts w:asciiTheme="minorHAnsi" w:hAnsiTheme="minorHAnsi"/>
                  <w:sz w:val="22"/>
                  <w:szCs w:val="22"/>
                  <w:lang w:val="it-IT"/>
                </w:rPr>
                <w:t>Colômbia</w:t>
              </w:r>
            </w:hyperlink>
          </w:p>
          <w:p w14:paraId="4079C7D5" w14:textId="77777777" w:rsidR="006E1925" w:rsidRPr="001437DD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hyperlink r:id="rId21" w:history="1">
              <w:r w:rsidR="006E1925" w:rsidRPr="001437DD">
                <w:rPr>
                  <w:rFonts w:asciiTheme="minorHAnsi" w:hAnsiTheme="minorHAnsi"/>
                  <w:sz w:val="22"/>
                  <w:szCs w:val="22"/>
                  <w:lang w:val="es-ES"/>
                </w:rPr>
                <w:t>Costa Rica</w:t>
              </w:r>
            </w:hyperlink>
          </w:p>
          <w:p w14:paraId="1AF41B4F" w14:textId="77777777" w:rsidR="006E1925" w:rsidRPr="001437DD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hyperlink r:id="rId22" w:history="1">
              <w:r w:rsidR="006E1925" w:rsidRPr="001437DD">
                <w:rPr>
                  <w:rFonts w:asciiTheme="minorHAnsi" w:hAnsiTheme="minorHAnsi"/>
                  <w:sz w:val="22"/>
                  <w:szCs w:val="22"/>
                  <w:lang w:val="es-ES"/>
                </w:rPr>
                <w:t>El Salvador</w:t>
              </w:r>
            </w:hyperlink>
          </w:p>
          <w:p w14:paraId="21C872E1" w14:textId="77777777" w:rsidR="006E1925" w:rsidRPr="001437DD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hyperlink r:id="rId23" w:history="1">
              <w:r w:rsidR="006E1925" w:rsidRPr="001437DD">
                <w:rPr>
                  <w:rFonts w:asciiTheme="minorHAnsi" w:hAnsiTheme="minorHAnsi"/>
                  <w:sz w:val="22"/>
                  <w:szCs w:val="22"/>
                  <w:lang w:val="es-ES"/>
                </w:rPr>
                <w:t>Equador</w:t>
              </w:r>
            </w:hyperlink>
          </w:p>
          <w:p w14:paraId="347BC759" w14:textId="6E1CC825" w:rsidR="00497DB5" w:rsidRPr="008A7B8B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6E1925" w:rsidRPr="001437DD">
                <w:rPr>
                  <w:rFonts w:asciiTheme="minorHAnsi" w:hAnsiTheme="minorHAnsi"/>
                  <w:sz w:val="22"/>
                  <w:szCs w:val="22"/>
                  <w:lang w:val="es-ES"/>
                </w:rPr>
                <w:t>Guatemala</w:t>
              </w:r>
            </w:hyperlink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1CA8EEA" w14:textId="77777777" w:rsidR="006E1925" w:rsidRPr="006E192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6E1925" w:rsidRPr="006E1925">
                <w:rPr>
                  <w:rFonts w:asciiTheme="minorHAnsi" w:hAnsiTheme="minorHAnsi"/>
                  <w:sz w:val="22"/>
                  <w:szCs w:val="22"/>
                </w:rPr>
                <w:t>Honduras</w:t>
              </w:r>
            </w:hyperlink>
          </w:p>
          <w:p w14:paraId="32D9845F" w14:textId="77777777" w:rsidR="006E1925" w:rsidRPr="006E192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6E1925" w:rsidRPr="006E1925">
                <w:rPr>
                  <w:rFonts w:asciiTheme="minorHAnsi" w:hAnsiTheme="minorHAnsi"/>
                  <w:sz w:val="22"/>
                  <w:szCs w:val="22"/>
                </w:rPr>
                <w:t>México</w:t>
              </w:r>
            </w:hyperlink>
          </w:p>
          <w:p w14:paraId="5DB7F06D" w14:textId="77777777" w:rsidR="006E1925" w:rsidRPr="00497DB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Nicarágua</w:t>
              </w:r>
            </w:hyperlink>
          </w:p>
          <w:p w14:paraId="748F5D1C" w14:textId="77777777" w:rsidR="006E1925" w:rsidRPr="00497DB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Panamá</w:t>
              </w:r>
            </w:hyperlink>
          </w:p>
          <w:p w14:paraId="3AF4015E" w14:textId="77777777" w:rsidR="006E1925" w:rsidRPr="00497DB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9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Paraguai</w:t>
              </w:r>
            </w:hyperlink>
          </w:p>
          <w:p w14:paraId="3DE55947" w14:textId="77777777" w:rsidR="006E1925" w:rsidRPr="00497DB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Peru</w:t>
              </w:r>
            </w:hyperlink>
          </w:p>
          <w:p w14:paraId="229EC260" w14:textId="77777777" w:rsidR="006E1925" w:rsidRPr="008A7B8B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Uruguai</w:t>
              </w:r>
            </w:hyperlink>
          </w:p>
          <w:p w14:paraId="00C4B78B" w14:textId="5CA10149" w:rsidR="00497DB5" w:rsidRPr="008A7B8B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hyperlink r:id="rId32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Venezuela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0CA5" w14:textId="77777777" w:rsidR="006E1925" w:rsidRPr="00497DB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Afeganistão</w:t>
              </w:r>
            </w:hyperlink>
          </w:p>
          <w:p w14:paraId="69620A61" w14:textId="77777777" w:rsidR="006E1925" w:rsidRPr="00497DB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Bangladesh</w:t>
              </w:r>
            </w:hyperlink>
          </w:p>
          <w:p w14:paraId="71350F6A" w14:textId="77777777" w:rsidR="006E1925" w:rsidRPr="00497DB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Butão</w:t>
              </w:r>
            </w:hyperlink>
          </w:p>
          <w:p w14:paraId="1B9D5018" w14:textId="77777777" w:rsidR="006E1925" w:rsidRPr="00497DB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Camboja</w:t>
              </w:r>
            </w:hyperlink>
          </w:p>
          <w:p w14:paraId="7D16627C" w14:textId="77777777" w:rsidR="006E1925" w:rsidRPr="00497DB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China</w:t>
              </w:r>
            </w:hyperlink>
          </w:p>
          <w:p w14:paraId="5ECD30F9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Filipinas</w:t>
              </w:r>
            </w:hyperlink>
          </w:p>
          <w:p w14:paraId="00DC991A" w14:textId="77777777" w:rsidR="006E1925" w:rsidRPr="00497DB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9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Índia</w:t>
              </w:r>
            </w:hyperlink>
          </w:p>
          <w:p w14:paraId="29EA295A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Indonésia</w:t>
              </w:r>
            </w:hyperlink>
          </w:p>
          <w:p w14:paraId="56477652" w14:textId="35CAF001" w:rsidR="00497DB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Laos</w:t>
              </w:r>
            </w:hyperlink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DDDB7D9" w14:textId="77777777" w:rsidR="006E192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2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Malásia</w:t>
              </w:r>
            </w:hyperlink>
          </w:p>
          <w:p w14:paraId="5DE2D04E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3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Maldivas</w:t>
              </w:r>
            </w:hyperlink>
          </w:p>
          <w:p w14:paraId="615E1D52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4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Mianmar</w:t>
              </w:r>
            </w:hyperlink>
          </w:p>
          <w:p w14:paraId="7297BC96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5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Mongólia</w:t>
              </w:r>
            </w:hyperlink>
          </w:p>
          <w:p w14:paraId="422AB29D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6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Nepal</w:t>
              </w:r>
            </w:hyperlink>
          </w:p>
          <w:p w14:paraId="7B130F11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7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Paquistão</w:t>
              </w:r>
            </w:hyperlink>
          </w:p>
          <w:p w14:paraId="2535FDCE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Sri Lanka</w:t>
              </w:r>
            </w:hyperlink>
          </w:p>
          <w:p w14:paraId="2356A0C7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9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Tailândia</w:t>
              </w:r>
            </w:hyperlink>
          </w:p>
          <w:p w14:paraId="50812A91" w14:textId="0346A24E" w:rsidR="00497DB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0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Vietname</w:t>
              </w:r>
            </w:hyperlink>
          </w:p>
        </w:tc>
        <w:tc>
          <w:tcPr>
            <w:tcW w:w="18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F9AF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1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Cazaquistão</w:t>
              </w:r>
            </w:hyperlink>
          </w:p>
          <w:p w14:paraId="58367EE5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2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Quirguizistão</w:t>
              </w:r>
            </w:hyperlink>
          </w:p>
          <w:p w14:paraId="3DAF0C9B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3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Tajiquistão</w:t>
              </w:r>
            </w:hyperlink>
          </w:p>
          <w:p w14:paraId="7F8361FC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4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Turquemenistão</w:t>
              </w:r>
            </w:hyperlink>
          </w:p>
          <w:p w14:paraId="073811FD" w14:textId="04666310" w:rsidR="00497DB5" w:rsidRPr="006E1925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Usbequistão</w:t>
              </w:r>
            </w:hyperlink>
          </w:p>
        </w:tc>
        <w:tc>
          <w:tcPr>
            <w:tcW w:w="212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7C0F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6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Iémen</w:t>
              </w:r>
            </w:hyperlink>
          </w:p>
          <w:p w14:paraId="7F1017CC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7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Irão</w:t>
              </w:r>
            </w:hyperlink>
          </w:p>
          <w:p w14:paraId="276DF0D6" w14:textId="77777777" w:rsidR="006E1925" w:rsidRPr="00C56C88" w:rsidRDefault="00F51A9E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8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Iraque</w:t>
              </w:r>
            </w:hyperlink>
          </w:p>
          <w:p w14:paraId="38CF64C0" w14:textId="77777777" w:rsidR="00497DB5" w:rsidRPr="00C56C88" w:rsidRDefault="00497DB5" w:rsidP="006E1925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7B772EA9" w14:textId="77777777" w:rsidR="00497DB5" w:rsidRPr="00C56C88" w:rsidRDefault="00497DB5" w:rsidP="00497DB5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Ao abrigo do </w:t>
      </w:r>
      <w:r>
        <w:rPr>
          <w:rFonts w:asciiTheme="minorHAnsi" w:hAnsiTheme="minorHAnsi"/>
          <w:b/>
          <w:sz w:val="22"/>
          <w:szCs w:val="22"/>
        </w:rPr>
        <w:t>Instrumento Europeu de Vizinhança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97DB5" w:rsidRPr="00C56C88" w14:paraId="49B620A1" w14:textId="77777777" w:rsidTr="004269CF"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179A" w14:textId="77777777" w:rsidR="006E1925" w:rsidRPr="00C56C88" w:rsidRDefault="00F51A9E" w:rsidP="006E19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9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Argélia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CC03287" w14:textId="77777777" w:rsidR="006E1925" w:rsidRPr="00C56C88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0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Arménia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45F5F1A" w14:textId="77777777" w:rsidR="006E1925" w:rsidRPr="00C56C88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1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Azerbaijão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50EB9D5" w14:textId="23F3E7D2" w:rsidR="00497DB5" w:rsidRPr="00C56C88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2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Bielorrússia</w:t>
              </w:r>
            </w:hyperlink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F57B" w14:textId="77777777" w:rsidR="006E1925" w:rsidRPr="00C56C88" w:rsidRDefault="00F51A9E" w:rsidP="006E19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3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Egito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5DB40FC" w14:textId="77777777" w:rsidR="006E1925" w:rsidRPr="00C56C88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4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Geórgia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58BA19" w14:textId="77777777" w:rsidR="006E1925" w:rsidRPr="00C56C88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5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Israel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71D571" w14:textId="507B47EB" w:rsidR="00497DB5" w:rsidRPr="00C56C88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6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Jordânia</w:t>
              </w:r>
            </w:hyperlink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0748" w14:textId="77777777" w:rsidR="006E1925" w:rsidRPr="00C56C88" w:rsidRDefault="00F51A9E" w:rsidP="006E19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7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Líbano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2453AFB" w14:textId="77777777" w:rsidR="006E1925" w:rsidRPr="00C56C88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8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Líbia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4F4A99D" w14:textId="77777777" w:rsidR="006E1925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9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Marrocos</w:t>
              </w:r>
            </w:hyperlink>
          </w:p>
          <w:p w14:paraId="7794557F" w14:textId="074DDB66" w:rsidR="00497DB5" w:rsidRPr="00C56C88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0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Moldávia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91AF" w14:textId="77777777" w:rsidR="006E1925" w:rsidRPr="00C56C88" w:rsidRDefault="00F51A9E" w:rsidP="006E19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1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Palestina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0597CE" w14:textId="77777777" w:rsidR="006E1925" w:rsidRPr="00C56C88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2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Síria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69D7A46" w14:textId="77777777" w:rsidR="006E1925" w:rsidRPr="00C56C88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3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Tunísia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C93B5E6" w14:textId="7268B15C" w:rsidR="00497DB5" w:rsidRPr="00C56C88" w:rsidRDefault="00F51A9E" w:rsidP="006E1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4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Ucrânia</w:t>
              </w:r>
            </w:hyperlink>
          </w:p>
        </w:tc>
      </w:tr>
    </w:tbl>
    <w:p w14:paraId="6B0EA5DD" w14:textId="77777777" w:rsidR="00497DB5" w:rsidRPr="00C56C88" w:rsidRDefault="00497DB5" w:rsidP="00497DB5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Ao abrigo do </w:t>
      </w:r>
      <w:r>
        <w:rPr>
          <w:rFonts w:asciiTheme="minorHAnsi" w:hAnsiTheme="minorHAnsi"/>
          <w:b/>
          <w:sz w:val="22"/>
          <w:szCs w:val="22"/>
        </w:rPr>
        <w:t>Fundo de Desenvolvimento Europeu</w:t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97DB5" w:rsidRPr="00C56C88" w14:paraId="3899A81A" w14:textId="77777777" w:rsidTr="004269CF"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0646" w14:textId="77777777" w:rsidR="00497DB5" w:rsidRPr="00C56C88" w:rsidRDefault="00497DB5" w:rsidP="004269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África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6FFD" w14:textId="77777777" w:rsidR="00497DB5" w:rsidRPr="00C56C88" w:rsidRDefault="00497DB5" w:rsidP="004269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Caraíbas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1E77" w14:textId="77777777" w:rsidR="00497DB5" w:rsidRPr="00C56C88" w:rsidRDefault="00497DB5" w:rsidP="004269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Pacífico</w:t>
            </w:r>
          </w:p>
        </w:tc>
      </w:tr>
      <w:tr w:rsidR="00497DB5" w:rsidRPr="00C56C88" w14:paraId="244111F8" w14:textId="77777777" w:rsidTr="00497DB5">
        <w:trPr>
          <w:trHeight w:val="98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1879" w14:textId="77777777" w:rsidR="006E1925" w:rsidRPr="00F767E0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5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África do Sul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DCEBF09" w14:textId="77777777" w:rsidR="006E1925" w:rsidRPr="006E192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6" w:history="1">
              <w:r w:rsidR="006E1925" w:rsidRPr="006E1925">
                <w:rPr>
                  <w:rFonts w:asciiTheme="minorHAnsi" w:hAnsiTheme="minorHAnsi"/>
                  <w:sz w:val="22"/>
                  <w:szCs w:val="22"/>
                </w:rPr>
                <w:t>Angola</w:t>
              </w:r>
            </w:hyperlink>
            <w:r w:rsidR="006E1925" w:rsidRP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F839776" w14:textId="77777777" w:rsidR="006E1925" w:rsidRPr="006E192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7" w:history="1">
              <w:r w:rsidR="006E1925" w:rsidRPr="006E1925">
                <w:rPr>
                  <w:rFonts w:asciiTheme="minorHAnsi" w:hAnsiTheme="minorHAnsi"/>
                  <w:sz w:val="22"/>
                  <w:szCs w:val="22"/>
                </w:rPr>
                <w:t>Benim</w:t>
              </w:r>
            </w:hyperlink>
            <w:r w:rsidR="006E1925" w:rsidRP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563F84" w14:textId="77777777" w:rsidR="006E1925" w:rsidRPr="006E192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8" w:history="1">
              <w:r w:rsidR="006E1925" w:rsidRPr="006E1925">
                <w:rPr>
                  <w:rFonts w:asciiTheme="minorHAnsi" w:hAnsiTheme="minorHAnsi"/>
                  <w:sz w:val="22"/>
                  <w:szCs w:val="22"/>
                </w:rPr>
                <w:t>Botsuana</w:t>
              </w:r>
            </w:hyperlink>
            <w:r w:rsidR="006E1925" w:rsidRP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5CF86E3" w14:textId="77777777" w:rsidR="006E1925" w:rsidRPr="006E192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9" w:history="1">
              <w:r w:rsidR="006E1925" w:rsidRPr="006E1925">
                <w:rPr>
                  <w:rFonts w:asciiTheme="minorHAnsi" w:hAnsiTheme="minorHAnsi"/>
                  <w:sz w:val="22"/>
                  <w:szCs w:val="22"/>
                </w:rPr>
                <w:t>Burkina Faso</w:t>
              </w:r>
            </w:hyperlink>
            <w:r w:rsidR="006E1925" w:rsidRP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576ADCC" w14:textId="77777777" w:rsidR="006E1925" w:rsidRPr="006E192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0" w:history="1">
              <w:r w:rsidR="006E1925" w:rsidRPr="006E1925">
                <w:rPr>
                  <w:rFonts w:asciiTheme="minorHAnsi" w:hAnsiTheme="minorHAnsi"/>
                  <w:sz w:val="22"/>
                  <w:szCs w:val="22"/>
                </w:rPr>
                <w:t>Burundi</w:t>
              </w:r>
            </w:hyperlink>
            <w:r w:rsidR="006E1925" w:rsidRP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F6445A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1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Cabo Verde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6A8F0FD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2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Camarões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31C78A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3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Chade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C0EABA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4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Comores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DF9A323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5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Congo (República Democrática do)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CF426B8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6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Congo (República do)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D7E32BD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7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Costa do Marfim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D6D6AF4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8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Eritreia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FA92FC" w14:textId="77777777" w:rsidR="00477711" w:rsidRPr="00497DB5" w:rsidRDefault="00477711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Etiópia</w:t>
            </w:r>
          </w:p>
          <w:p w14:paraId="0B28B82F" w14:textId="00AAD939" w:rsidR="00497DB5" w:rsidRPr="00C56C88" w:rsidRDefault="00477711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t>Gabão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2352" w14:textId="77777777" w:rsidR="00477711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9" w:history="1">
              <w:r w:rsidR="00477711">
                <w:rPr>
                  <w:rFonts w:asciiTheme="minorHAnsi" w:hAnsiTheme="minorHAnsi"/>
                  <w:sz w:val="22"/>
                  <w:szCs w:val="22"/>
                </w:rPr>
                <w:t>Gâmbia</w:t>
              </w:r>
            </w:hyperlink>
            <w:r w:rsidR="004777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2DC233A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0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Gana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4041C3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1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Guiné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279993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2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Guiné Equatorial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83B7E08" w14:textId="77777777" w:rsidR="006E1925" w:rsidRPr="006E192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hyperlink r:id="rId93" w:history="1">
              <w:r w:rsidR="006E1925" w:rsidRPr="006E1925">
                <w:rPr>
                  <w:rFonts w:asciiTheme="minorHAnsi" w:hAnsiTheme="minorHAnsi"/>
                  <w:sz w:val="22"/>
                  <w:szCs w:val="22"/>
                  <w:lang w:val="it-IT"/>
                </w:rPr>
                <w:t>Guiné-Bissau</w:t>
              </w:r>
            </w:hyperlink>
            <w:r w:rsidR="006E1925" w:rsidRPr="006E1925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</w:p>
          <w:p w14:paraId="1D5EECBF" w14:textId="77777777" w:rsidR="006E1925" w:rsidRPr="006E192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hyperlink r:id="rId94" w:history="1">
              <w:r w:rsidR="006E1925" w:rsidRPr="006E1925">
                <w:rPr>
                  <w:rFonts w:asciiTheme="minorHAnsi" w:hAnsiTheme="minorHAnsi"/>
                  <w:sz w:val="22"/>
                  <w:szCs w:val="22"/>
                  <w:lang w:val="it-IT"/>
                </w:rPr>
                <w:t>Jibuti</w:t>
              </w:r>
            </w:hyperlink>
            <w:r w:rsidR="006E1925" w:rsidRPr="006E1925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</w:p>
          <w:p w14:paraId="5DAD2E55" w14:textId="77777777" w:rsidR="006E1925" w:rsidRPr="006E192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hyperlink r:id="rId95" w:history="1">
              <w:r w:rsidR="006E1925" w:rsidRPr="006E1925">
                <w:rPr>
                  <w:rFonts w:asciiTheme="minorHAnsi" w:hAnsiTheme="minorHAnsi"/>
                  <w:sz w:val="22"/>
                  <w:szCs w:val="22"/>
                  <w:lang w:val="it-IT"/>
                </w:rPr>
                <w:t>Lesoto</w:t>
              </w:r>
            </w:hyperlink>
            <w:r w:rsidR="006E1925" w:rsidRPr="006E1925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</w:p>
          <w:p w14:paraId="57D74FA4" w14:textId="77777777" w:rsidR="006E1925" w:rsidRPr="006E192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hyperlink r:id="rId96" w:history="1">
              <w:r w:rsidR="006E1925" w:rsidRPr="006E1925">
                <w:rPr>
                  <w:rFonts w:asciiTheme="minorHAnsi" w:hAnsiTheme="minorHAnsi"/>
                  <w:sz w:val="22"/>
                  <w:szCs w:val="22"/>
                  <w:lang w:val="it-IT"/>
                </w:rPr>
                <w:t>Libéria</w:t>
              </w:r>
            </w:hyperlink>
            <w:r w:rsidR="006E1925" w:rsidRPr="006E1925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</w:p>
          <w:p w14:paraId="7A171B78" w14:textId="77777777" w:rsidR="006E1925" w:rsidRPr="006E192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hyperlink r:id="rId97" w:history="1">
              <w:r w:rsidR="006E1925" w:rsidRPr="006E1925">
                <w:rPr>
                  <w:rFonts w:asciiTheme="minorHAnsi" w:hAnsiTheme="minorHAnsi"/>
                  <w:sz w:val="22"/>
                  <w:szCs w:val="22"/>
                  <w:lang w:val="it-IT"/>
                </w:rPr>
                <w:t>Madagáscar</w:t>
              </w:r>
            </w:hyperlink>
            <w:r w:rsidR="006E1925" w:rsidRPr="006E1925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</w:p>
          <w:p w14:paraId="6385C314" w14:textId="77777777" w:rsidR="006E1925" w:rsidRPr="009A38C2" w:rsidRDefault="006E1925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Malawi </w:t>
            </w:r>
          </w:p>
          <w:p w14:paraId="1D99B31B" w14:textId="77777777" w:rsidR="006E1925" w:rsidRPr="009A38C2" w:rsidRDefault="006E1925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Mali</w:t>
            </w:r>
          </w:p>
          <w:p w14:paraId="2C78C84F" w14:textId="77777777" w:rsidR="006E1925" w:rsidRPr="00F767E0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8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Maurícias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0A94CB3" w14:textId="77777777" w:rsidR="006E1925" w:rsidRPr="009A38C2" w:rsidRDefault="006E1925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Mauritânia</w:t>
            </w:r>
          </w:p>
          <w:p w14:paraId="69F04C3C" w14:textId="77777777" w:rsidR="006E1925" w:rsidRPr="00F767E0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9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Moçambique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5766EC" w14:textId="77777777" w:rsidR="00477711" w:rsidRPr="008A7B8B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0" w:history="1">
              <w:r w:rsidR="00477711">
                <w:rPr>
                  <w:rFonts w:asciiTheme="minorHAnsi" w:hAnsiTheme="minorHAnsi"/>
                  <w:sz w:val="22"/>
                  <w:szCs w:val="22"/>
                </w:rPr>
                <w:t>Namíbia</w:t>
              </w:r>
            </w:hyperlink>
            <w:r w:rsidR="004777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14712F" w14:textId="77777777" w:rsidR="00477711" w:rsidRPr="008A7B8B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1" w:history="1">
              <w:r w:rsidR="00477711">
                <w:rPr>
                  <w:rFonts w:asciiTheme="minorHAnsi" w:hAnsiTheme="minorHAnsi"/>
                  <w:sz w:val="22"/>
                  <w:szCs w:val="22"/>
                </w:rPr>
                <w:t>Níger</w:t>
              </w:r>
            </w:hyperlink>
            <w:r w:rsidR="004777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46DEE1" w14:textId="77777777" w:rsidR="00477711" w:rsidRPr="008A7B8B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2" w:history="1">
              <w:r w:rsidR="00477711">
                <w:rPr>
                  <w:rFonts w:asciiTheme="minorHAnsi" w:hAnsiTheme="minorHAnsi"/>
                  <w:sz w:val="22"/>
                  <w:szCs w:val="22"/>
                </w:rPr>
                <w:t>Nigéria</w:t>
              </w:r>
            </w:hyperlink>
            <w:r w:rsidR="004777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A253FCE" w14:textId="30B8023F" w:rsidR="00497DB5" w:rsidRPr="00477711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3" w:history="1">
              <w:r w:rsidR="00477711">
                <w:rPr>
                  <w:rFonts w:asciiTheme="minorHAnsi" w:hAnsiTheme="minorHAnsi"/>
                  <w:sz w:val="22"/>
                  <w:szCs w:val="22"/>
                </w:rPr>
                <w:t>Quénia</w:t>
              </w:r>
            </w:hyperlink>
            <w:r w:rsidR="004777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2BA7" w14:textId="77777777" w:rsidR="00477711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4" w:history="1">
              <w:r w:rsidR="00477711">
                <w:rPr>
                  <w:rFonts w:asciiTheme="minorHAnsi" w:hAnsiTheme="minorHAnsi"/>
                  <w:sz w:val="22"/>
                  <w:szCs w:val="22"/>
                </w:rPr>
                <w:t>República Centro-Africana</w:t>
              </w:r>
            </w:hyperlink>
            <w:r w:rsidR="004777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4610AB4" w14:textId="77777777" w:rsidR="006E1925" w:rsidRPr="008A7B8B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5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Ruanda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E49333" w14:textId="77777777" w:rsidR="006E1925" w:rsidRPr="008A7B8B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6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São Tomé e Príncipe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0EFF673" w14:textId="77777777" w:rsidR="006E1925" w:rsidRPr="009A38C2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7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Seicheles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0CE7B55" w14:textId="77777777" w:rsidR="006E1925" w:rsidRPr="008A7B8B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8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Senegal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C5E58C0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9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Serra Leoa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A7F94BF" w14:textId="77777777" w:rsidR="006E1925" w:rsidRPr="00497DB5" w:rsidRDefault="006E1925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Somália </w:t>
            </w:r>
          </w:p>
          <w:p w14:paraId="5B7A1271" w14:textId="77777777" w:rsidR="006E1925" w:rsidRPr="00F767E0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0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Suazilândia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5225596" w14:textId="77777777" w:rsidR="006E1925" w:rsidRPr="00F767E0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1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Sudão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13A41D8" w14:textId="77777777" w:rsidR="006E1925" w:rsidRPr="00F767E0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2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Sul do Sudão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2FCDA1A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3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Tanzânia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9480118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4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Togo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A5ED40F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5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Uganda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2F9EADC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6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Zâmbia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958324" w14:textId="72E32463" w:rsidR="00497DB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7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Zimbabué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8C3E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8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Antígua e Barbuda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C680323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9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Baamas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4D1CAC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0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Barbados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251CCD8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1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Belize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2C7CEB" w14:textId="77777777" w:rsidR="006E1925" w:rsidRPr="00497DB5" w:rsidRDefault="006E1925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Cuba</w:t>
            </w:r>
          </w:p>
          <w:p w14:paraId="10C1265B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2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Dominica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CE92283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3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Granada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DDD0EE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4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Guiana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6A53665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5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Haiti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B2484F3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6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Jamaica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30D4A53" w14:textId="77777777" w:rsidR="006E1925" w:rsidRPr="00497DB5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7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República Dominicana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FE9294B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8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Santa Lúcia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E20599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9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São Cristóvão e Nevis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FDB964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0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São Vicente e Granadinas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BE0000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1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Suriname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8FB08BF" w14:textId="0B12F591" w:rsidR="00497DB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2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Trindade e Tobago</w:t>
              </w:r>
            </w:hyperlink>
          </w:p>
        </w:tc>
        <w:tc>
          <w:tcPr>
            <w:tcW w:w="18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2206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3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Fiji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2AB4148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4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Ilhas Cook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F43FCB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5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Ilhas Marshall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404A60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6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Ilhas Salomão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C7239D6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7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Micronésia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521B556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8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Nauru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93681FB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9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Niue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B253694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0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Palau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DAB8EAE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1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Papua Nova Guiné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8D648E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2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Quiribáti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0577008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3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Samoa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71B195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4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Timor-Leste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5B67055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5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Tonga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002022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6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Tuvalu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DD751F" w14:textId="77777777" w:rsidR="006E1925" w:rsidRPr="00C56C88" w:rsidRDefault="00F51A9E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7" w:history="1">
              <w:r w:rsidR="006E1925">
                <w:rPr>
                  <w:rFonts w:asciiTheme="minorHAnsi" w:hAnsiTheme="minorHAnsi"/>
                  <w:sz w:val="22"/>
                  <w:szCs w:val="22"/>
                </w:rPr>
                <w:t>Vanuatu</w:t>
              </w:r>
            </w:hyperlink>
            <w:r w:rsidR="006E1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208BCD6" w14:textId="77777777" w:rsidR="00497DB5" w:rsidRPr="006E1925" w:rsidRDefault="00497DB5" w:rsidP="00477711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29A3C1" w14:textId="3D214BE8" w:rsidR="00497DB5" w:rsidRPr="006E1925" w:rsidRDefault="00497DB5" w:rsidP="004155D7">
      <w:pPr>
        <w:rPr>
          <w:rFonts w:asciiTheme="minorHAnsi" w:hAnsiTheme="minorHAnsi"/>
          <w:sz w:val="22"/>
          <w:szCs w:val="22"/>
        </w:rPr>
      </w:pPr>
    </w:p>
    <w:sectPr w:rsidR="00497DB5" w:rsidRPr="006E1925" w:rsidSect="004B3684">
      <w:footerReference w:type="first" r:id="rId148"/>
      <w:pgSz w:w="11900" w:h="16840"/>
      <w:pgMar w:top="127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2C99C" w14:textId="77777777" w:rsidR="00005B7F" w:rsidRDefault="00005B7F" w:rsidP="007E5F26">
      <w:r>
        <w:separator/>
      </w:r>
    </w:p>
  </w:endnote>
  <w:endnote w:type="continuationSeparator" w:id="0">
    <w:p w14:paraId="71C60581" w14:textId="77777777" w:rsidR="00005B7F" w:rsidRDefault="00005B7F" w:rsidP="007E5F26">
      <w:r>
        <w:continuationSeparator/>
      </w:r>
    </w:p>
  </w:endnote>
  <w:endnote w:type="continuationNotice" w:id="1">
    <w:p w14:paraId="00A8EDC1" w14:textId="77777777" w:rsidR="00005B7F" w:rsidRDefault="00005B7F" w:rsidP="007E5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627421"/>
      <w:docPartObj>
        <w:docPartGallery w:val="Page Numbers (Bottom of Page)"/>
        <w:docPartUnique/>
      </w:docPartObj>
    </w:sdtPr>
    <w:sdtEndPr/>
    <w:sdtContent>
      <w:sdt>
        <w:sdtPr>
          <w:id w:val="-1475220361"/>
          <w:docPartObj>
            <w:docPartGallery w:val="Page Numbers (Top of Page)"/>
            <w:docPartUnique/>
          </w:docPartObj>
        </w:sdtPr>
        <w:sdtEndPr/>
        <w:sdtContent>
          <w:p w14:paraId="7EA5992E" w14:textId="2E4CE025" w:rsidR="00005B7F" w:rsidRDefault="00005B7F" w:rsidP="00242DB8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878E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878E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853123"/>
      <w:docPartObj>
        <w:docPartGallery w:val="Page Numbers (Bottom of Page)"/>
        <w:docPartUnique/>
      </w:docPartObj>
    </w:sdtPr>
    <w:sdtEndPr/>
    <w:sdtContent>
      <w:sdt>
        <w:sdtPr>
          <w:id w:val="-439216714"/>
          <w:docPartObj>
            <w:docPartGallery w:val="Page Numbers (Top of Page)"/>
            <w:docPartUnique/>
          </w:docPartObj>
        </w:sdtPr>
        <w:sdtEndPr/>
        <w:sdtContent>
          <w:p w14:paraId="067707B2" w14:textId="0B039C51" w:rsidR="00005B7F" w:rsidRDefault="00005B7F" w:rsidP="006E596E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2ADA7" w14:textId="77777777" w:rsidR="00005B7F" w:rsidRDefault="00005B7F" w:rsidP="007E5F26">
      <w:r>
        <w:separator/>
      </w:r>
    </w:p>
  </w:footnote>
  <w:footnote w:type="continuationSeparator" w:id="0">
    <w:p w14:paraId="6E86F2C8" w14:textId="77777777" w:rsidR="00005B7F" w:rsidRDefault="00005B7F" w:rsidP="007E5F26">
      <w:r>
        <w:continuationSeparator/>
      </w:r>
    </w:p>
  </w:footnote>
  <w:footnote w:type="continuationNotice" w:id="1">
    <w:p w14:paraId="4EE1FE91" w14:textId="77777777" w:rsidR="00005B7F" w:rsidRDefault="00005B7F" w:rsidP="007E5F26"/>
  </w:footnote>
  <w:footnote w:id="2">
    <w:p w14:paraId="1C910579" w14:textId="77777777" w:rsidR="00005B7F" w:rsidRPr="002E6CD3" w:rsidRDefault="00005B7F" w:rsidP="00961A2E">
      <w:pPr>
        <w:pStyle w:val="FootnoteText"/>
        <w:spacing w:after="0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De acordo com a assistência EuropeAid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08364" w14:textId="54DED0C6" w:rsidR="00005B7F" w:rsidRPr="00242DB8" w:rsidRDefault="00005B7F" w:rsidP="00242DB8">
    <w:pPr>
      <w:pStyle w:val="Footer"/>
      <w:pBdr>
        <w:bottom w:val="single" w:sz="4" w:space="1" w:color="auto"/>
      </w:pBdr>
      <w:tabs>
        <w:tab w:val="clear" w:pos="8640"/>
        <w:tab w:val="right" w:pos="9639"/>
      </w:tabs>
      <w:rPr>
        <w:b/>
        <w:i/>
      </w:rPr>
    </w:pPr>
    <w:r>
      <w:rPr>
        <w:b/>
        <w:i/>
      </w:rPr>
      <w:t>SOCIEUX+ Guia para Instituições Parceiras</w:t>
    </w:r>
    <w:r>
      <w:rPr>
        <w:b/>
        <w:i/>
      </w:rPr>
      <w:tab/>
      <w:t>Versão 26/06/2107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AB4"/>
    <w:multiLevelType w:val="hybridMultilevel"/>
    <w:tmpl w:val="7826A906"/>
    <w:lvl w:ilvl="0" w:tplc="EA4890A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08A6"/>
    <w:multiLevelType w:val="hybridMultilevel"/>
    <w:tmpl w:val="D458BF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92F53"/>
    <w:multiLevelType w:val="hybridMultilevel"/>
    <w:tmpl w:val="83EA43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61AF"/>
    <w:multiLevelType w:val="hybridMultilevel"/>
    <w:tmpl w:val="8ACAE146"/>
    <w:lvl w:ilvl="0" w:tplc="28349FCE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006806"/>
    <w:multiLevelType w:val="hybridMultilevel"/>
    <w:tmpl w:val="FBDEFE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345A6"/>
    <w:multiLevelType w:val="hybridMultilevel"/>
    <w:tmpl w:val="8ACA0956"/>
    <w:lvl w:ilvl="0" w:tplc="5332166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84A43198">
      <w:start w:val="1"/>
      <w:numFmt w:val="lowerLetter"/>
      <w:lvlText w:val="%4)"/>
      <w:lvlJc w:val="left"/>
      <w:pPr>
        <w:ind w:left="5497" w:hanging="2203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5465BFF"/>
    <w:multiLevelType w:val="hybridMultilevel"/>
    <w:tmpl w:val="406E37D6"/>
    <w:lvl w:ilvl="0" w:tplc="FFFFFFFF">
      <w:start w:val="1"/>
      <w:numFmt w:val="bullet"/>
      <w:pStyle w:val="w"/>
      <w:lvlText w:val=""/>
      <w:lvlJc w:val="left"/>
      <w:pPr>
        <w:tabs>
          <w:tab w:val="num" w:pos="994"/>
        </w:tabs>
        <w:ind w:left="994" w:hanging="432"/>
      </w:pPr>
      <w:rPr>
        <w:rFonts w:ascii="Symbol" w:hAnsi="Symbol" w:hint="default"/>
        <w:sz w:val="22"/>
      </w:rPr>
    </w:lvl>
    <w:lvl w:ilvl="1" w:tplc="E30CCC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8A85342">
      <w:start w:val="3"/>
      <w:numFmt w:val="bullet"/>
      <w:lvlText w:val=""/>
      <w:lvlJc w:val="left"/>
      <w:pPr>
        <w:tabs>
          <w:tab w:val="num" w:pos="2505"/>
        </w:tabs>
        <w:ind w:left="2505" w:hanging="705"/>
      </w:pPr>
      <w:rPr>
        <w:rFonts w:ascii="Wingdings" w:eastAsia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A3ACA"/>
    <w:multiLevelType w:val="hybridMultilevel"/>
    <w:tmpl w:val="21D66EB6"/>
    <w:lvl w:ilvl="0" w:tplc="492CAC0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1545690">
      <w:start w:val="1"/>
      <w:numFmt w:val="bullet"/>
      <w:lvlText w:val="-"/>
      <w:lvlJc w:val="left"/>
      <w:pPr>
        <w:ind w:left="2520" w:hanging="720"/>
      </w:pPr>
      <w:rPr>
        <w:rFonts w:ascii="Cambria" w:hAnsi="Cambria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A1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8" w:hanging="432"/>
      </w:pPr>
    </w:lvl>
    <w:lvl w:ilvl="2">
      <w:start w:val="1"/>
      <w:numFmt w:val="decimal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F87028"/>
    <w:multiLevelType w:val="hybridMultilevel"/>
    <w:tmpl w:val="2128548E"/>
    <w:lvl w:ilvl="0" w:tplc="0154569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729A"/>
    <w:multiLevelType w:val="hybridMultilevel"/>
    <w:tmpl w:val="98B000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3B2148"/>
    <w:multiLevelType w:val="hybridMultilevel"/>
    <w:tmpl w:val="02943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477C2"/>
    <w:multiLevelType w:val="hybridMultilevel"/>
    <w:tmpl w:val="4A9242C4"/>
    <w:lvl w:ilvl="0" w:tplc="492CAC0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1545690">
      <w:start w:val="1"/>
      <w:numFmt w:val="bullet"/>
      <w:lvlText w:val="-"/>
      <w:lvlJc w:val="left"/>
      <w:pPr>
        <w:ind w:left="2520" w:hanging="720"/>
      </w:pPr>
      <w:rPr>
        <w:rFonts w:ascii="Cambria" w:hAnsi="Cambria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647E4"/>
    <w:multiLevelType w:val="hybridMultilevel"/>
    <w:tmpl w:val="E59E9E06"/>
    <w:lvl w:ilvl="0" w:tplc="D2FA5518">
      <w:start w:val="1"/>
      <w:numFmt w:val="lowerLetter"/>
      <w:lvlText w:val="%1)"/>
      <w:lvlJc w:val="left"/>
      <w:pPr>
        <w:ind w:left="30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3780" w:hanging="360"/>
      </w:pPr>
    </w:lvl>
    <w:lvl w:ilvl="2" w:tplc="040C001B">
      <w:start w:val="1"/>
      <w:numFmt w:val="lowerRoman"/>
      <w:lvlText w:val="%3."/>
      <w:lvlJc w:val="right"/>
      <w:pPr>
        <w:ind w:left="4500" w:hanging="180"/>
      </w:pPr>
    </w:lvl>
    <w:lvl w:ilvl="3" w:tplc="040C000F" w:tentative="1">
      <w:start w:val="1"/>
      <w:numFmt w:val="decimal"/>
      <w:lvlText w:val="%4."/>
      <w:lvlJc w:val="left"/>
      <w:pPr>
        <w:ind w:left="5220" w:hanging="360"/>
      </w:pPr>
    </w:lvl>
    <w:lvl w:ilvl="4" w:tplc="040C0019" w:tentative="1">
      <w:start w:val="1"/>
      <w:numFmt w:val="lowerLetter"/>
      <w:lvlText w:val="%5."/>
      <w:lvlJc w:val="left"/>
      <w:pPr>
        <w:ind w:left="5940" w:hanging="360"/>
      </w:pPr>
    </w:lvl>
    <w:lvl w:ilvl="5" w:tplc="040C001B" w:tentative="1">
      <w:start w:val="1"/>
      <w:numFmt w:val="lowerRoman"/>
      <w:lvlText w:val="%6."/>
      <w:lvlJc w:val="right"/>
      <w:pPr>
        <w:ind w:left="6660" w:hanging="180"/>
      </w:pPr>
    </w:lvl>
    <w:lvl w:ilvl="6" w:tplc="040C000F" w:tentative="1">
      <w:start w:val="1"/>
      <w:numFmt w:val="decimal"/>
      <w:lvlText w:val="%7."/>
      <w:lvlJc w:val="left"/>
      <w:pPr>
        <w:ind w:left="7380" w:hanging="360"/>
      </w:pPr>
    </w:lvl>
    <w:lvl w:ilvl="7" w:tplc="040C0019" w:tentative="1">
      <w:start w:val="1"/>
      <w:numFmt w:val="lowerLetter"/>
      <w:lvlText w:val="%8."/>
      <w:lvlJc w:val="left"/>
      <w:pPr>
        <w:ind w:left="8100" w:hanging="360"/>
      </w:pPr>
    </w:lvl>
    <w:lvl w:ilvl="8" w:tplc="040C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322751C0"/>
    <w:multiLevelType w:val="hybridMultilevel"/>
    <w:tmpl w:val="EC9847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39034B"/>
    <w:multiLevelType w:val="hybridMultilevel"/>
    <w:tmpl w:val="F22067CA"/>
    <w:lvl w:ilvl="0" w:tplc="0154569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7762C3"/>
    <w:multiLevelType w:val="hybridMultilevel"/>
    <w:tmpl w:val="4B28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A2A4E"/>
    <w:multiLevelType w:val="hybridMultilevel"/>
    <w:tmpl w:val="380A63DE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5AC0E0D"/>
    <w:multiLevelType w:val="hybridMultilevel"/>
    <w:tmpl w:val="90BE634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2016F6"/>
    <w:multiLevelType w:val="hybridMultilevel"/>
    <w:tmpl w:val="39AE23B4"/>
    <w:lvl w:ilvl="0" w:tplc="F5A0A6E4">
      <w:start w:val="1"/>
      <w:numFmt w:val="lowerLetter"/>
      <w:lvlText w:val="%1)"/>
      <w:lvlJc w:val="left"/>
      <w:pPr>
        <w:ind w:left="306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3780" w:hanging="360"/>
      </w:pPr>
    </w:lvl>
    <w:lvl w:ilvl="2" w:tplc="040C001B">
      <w:start w:val="1"/>
      <w:numFmt w:val="lowerRoman"/>
      <w:lvlText w:val="%3."/>
      <w:lvlJc w:val="right"/>
      <w:pPr>
        <w:ind w:left="4500" w:hanging="180"/>
      </w:pPr>
    </w:lvl>
    <w:lvl w:ilvl="3" w:tplc="040C000F" w:tentative="1">
      <w:start w:val="1"/>
      <w:numFmt w:val="decimal"/>
      <w:lvlText w:val="%4."/>
      <w:lvlJc w:val="left"/>
      <w:pPr>
        <w:ind w:left="5220" w:hanging="360"/>
      </w:pPr>
    </w:lvl>
    <w:lvl w:ilvl="4" w:tplc="040C0019" w:tentative="1">
      <w:start w:val="1"/>
      <w:numFmt w:val="lowerLetter"/>
      <w:lvlText w:val="%5."/>
      <w:lvlJc w:val="left"/>
      <w:pPr>
        <w:ind w:left="5940" w:hanging="360"/>
      </w:pPr>
    </w:lvl>
    <w:lvl w:ilvl="5" w:tplc="040C001B" w:tentative="1">
      <w:start w:val="1"/>
      <w:numFmt w:val="lowerRoman"/>
      <w:lvlText w:val="%6."/>
      <w:lvlJc w:val="right"/>
      <w:pPr>
        <w:ind w:left="6660" w:hanging="180"/>
      </w:pPr>
    </w:lvl>
    <w:lvl w:ilvl="6" w:tplc="040C000F" w:tentative="1">
      <w:start w:val="1"/>
      <w:numFmt w:val="decimal"/>
      <w:lvlText w:val="%7."/>
      <w:lvlJc w:val="left"/>
      <w:pPr>
        <w:ind w:left="7380" w:hanging="360"/>
      </w:pPr>
    </w:lvl>
    <w:lvl w:ilvl="7" w:tplc="040C0019" w:tentative="1">
      <w:start w:val="1"/>
      <w:numFmt w:val="lowerLetter"/>
      <w:lvlText w:val="%8."/>
      <w:lvlJc w:val="left"/>
      <w:pPr>
        <w:ind w:left="8100" w:hanging="360"/>
      </w:pPr>
    </w:lvl>
    <w:lvl w:ilvl="8" w:tplc="040C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4BAE2268"/>
    <w:multiLevelType w:val="multilevel"/>
    <w:tmpl w:val="2AF68B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auto"/>
      </w:rPr>
    </w:lvl>
  </w:abstractNum>
  <w:abstractNum w:abstractNumId="21" w15:restartNumberingAfterBreak="0">
    <w:nsid w:val="4E205912"/>
    <w:multiLevelType w:val="hybridMultilevel"/>
    <w:tmpl w:val="7F321E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2A73C2"/>
    <w:multiLevelType w:val="hybridMultilevel"/>
    <w:tmpl w:val="3DB4B438"/>
    <w:lvl w:ilvl="0" w:tplc="80A4AB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0B55"/>
    <w:multiLevelType w:val="hybridMultilevel"/>
    <w:tmpl w:val="DA4AC438"/>
    <w:lvl w:ilvl="0" w:tplc="492CAC0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126E32"/>
    <w:multiLevelType w:val="hybridMultilevel"/>
    <w:tmpl w:val="9D8816A4"/>
    <w:lvl w:ilvl="0" w:tplc="492CAC0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8E5A8B"/>
    <w:multiLevelType w:val="hybridMultilevel"/>
    <w:tmpl w:val="A6F471B6"/>
    <w:lvl w:ilvl="0" w:tplc="0154569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A01223"/>
    <w:multiLevelType w:val="hybridMultilevel"/>
    <w:tmpl w:val="E4A88316"/>
    <w:lvl w:ilvl="0" w:tplc="0154569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0D112C"/>
    <w:multiLevelType w:val="hybridMultilevel"/>
    <w:tmpl w:val="CAF821BA"/>
    <w:lvl w:ilvl="0" w:tplc="0154569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CD56D2"/>
    <w:multiLevelType w:val="hybridMultilevel"/>
    <w:tmpl w:val="09485B9A"/>
    <w:lvl w:ilvl="0" w:tplc="492CAC0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BE007544">
      <w:numFmt w:val="bullet"/>
      <w:lvlText w:val="•"/>
      <w:lvlJc w:val="left"/>
      <w:pPr>
        <w:ind w:left="2520" w:hanging="720"/>
      </w:pPr>
      <w:rPr>
        <w:rFonts w:ascii="Verdana" w:eastAsia="Cambria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C62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322604"/>
    <w:multiLevelType w:val="hybridMultilevel"/>
    <w:tmpl w:val="24789A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A01B31"/>
    <w:multiLevelType w:val="hybridMultilevel"/>
    <w:tmpl w:val="55841C04"/>
    <w:lvl w:ilvl="0" w:tplc="35D4748A">
      <w:start w:val="1"/>
      <w:numFmt w:val="lowerLetter"/>
      <w:lvlText w:val="%1)"/>
      <w:lvlJc w:val="left"/>
      <w:pPr>
        <w:ind w:left="306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3780" w:hanging="360"/>
      </w:pPr>
    </w:lvl>
    <w:lvl w:ilvl="2" w:tplc="040C001B">
      <w:start w:val="1"/>
      <w:numFmt w:val="lowerRoman"/>
      <w:lvlText w:val="%3."/>
      <w:lvlJc w:val="right"/>
      <w:pPr>
        <w:ind w:left="4500" w:hanging="180"/>
      </w:pPr>
    </w:lvl>
    <w:lvl w:ilvl="3" w:tplc="040C000F" w:tentative="1">
      <w:start w:val="1"/>
      <w:numFmt w:val="decimal"/>
      <w:lvlText w:val="%4."/>
      <w:lvlJc w:val="left"/>
      <w:pPr>
        <w:ind w:left="5220" w:hanging="360"/>
      </w:pPr>
    </w:lvl>
    <w:lvl w:ilvl="4" w:tplc="040C0019" w:tentative="1">
      <w:start w:val="1"/>
      <w:numFmt w:val="lowerLetter"/>
      <w:lvlText w:val="%5."/>
      <w:lvlJc w:val="left"/>
      <w:pPr>
        <w:ind w:left="5940" w:hanging="360"/>
      </w:pPr>
    </w:lvl>
    <w:lvl w:ilvl="5" w:tplc="040C001B" w:tentative="1">
      <w:start w:val="1"/>
      <w:numFmt w:val="lowerRoman"/>
      <w:lvlText w:val="%6."/>
      <w:lvlJc w:val="right"/>
      <w:pPr>
        <w:ind w:left="6660" w:hanging="180"/>
      </w:pPr>
    </w:lvl>
    <w:lvl w:ilvl="6" w:tplc="040C000F" w:tentative="1">
      <w:start w:val="1"/>
      <w:numFmt w:val="decimal"/>
      <w:lvlText w:val="%7."/>
      <w:lvlJc w:val="left"/>
      <w:pPr>
        <w:ind w:left="7380" w:hanging="360"/>
      </w:pPr>
    </w:lvl>
    <w:lvl w:ilvl="7" w:tplc="040C0019" w:tentative="1">
      <w:start w:val="1"/>
      <w:numFmt w:val="lowerLetter"/>
      <w:lvlText w:val="%8."/>
      <w:lvlJc w:val="left"/>
      <w:pPr>
        <w:ind w:left="8100" w:hanging="360"/>
      </w:pPr>
    </w:lvl>
    <w:lvl w:ilvl="8" w:tplc="040C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77456797"/>
    <w:multiLevelType w:val="hybridMultilevel"/>
    <w:tmpl w:val="BEE02E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554B3B"/>
    <w:multiLevelType w:val="hybridMultilevel"/>
    <w:tmpl w:val="B1E8BEFE"/>
    <w:lvl w:ilvl="0" w:tplc="492CAC0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3134F5"/>
    <w:multiLevelType w:val="hybridMultilevel"/>
    <w:tmpl w:val="9B6C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2599D"/>
    <w:multiLevelType w:val="multilevel"/>
    <w:tmpl w:val="D67CCE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4"/>
  </w:num>
  <w:num w:numId="3">
    <w:abstractNumId w:val="22"/>
  </w:num>
  <w:num w:numId="4">
    <w:abstractNumId w:val="2"/>
  </w:num>
  <w:num w:numId="5">
    <w:abstractNumId w:val="6"/>
  </w:num>
  <w:num w:numId="6">
    <w:abstractNumId w:val="0"/>
  </w:num>
  <w:num w:numId="7">
    <w:abstractNumId w:val="20"/>
  </w:num>
  <w:num w:numId="8">
    <w:abstractNumId w:val="5"/>
  </w:num>
  <w:num w:numId="9">
    <w:abstractNumId w:val="31"/>
  </w:num>
  <w:num w:numId="10">
    <w:abstractNumId w:val="19"/>
  </w:num>
  <w:num w:numId="11">
    <w:abstractNumId w:val="13"/>
  </w:num>
  <w:num w:numId="12">
    <w:abstractNumId w:val="17"/>
  </w:num>
  <w:num w:numId="13">
    <w:abstractNumId w:val="11"/>
  </w:num>
  <w:num w:numId="14">
    <w:abstractNumId w:val="23"/>
  </w:num>
  <w:num w:numId="15">
    <w:abstractNumId w:val="28"/>
  </w:num>
  <w:num w:numId="16">
    <w:abstractNumId w:val="24"/>
  </w:num>
  <w:num w:numId="17">
    <w:abstractNumId w:val="33"/>
  </w:num>
  <w:num w:numId="18">
    <w:abstractNumId w:val="7"/>
  </w:num>
  <w:num w:numId="19">
    <w:abstractNumId w:val="27"/>
  </w:num>
  <w:num w:numId="20">
    <w:abstractNumId w:val="12"/>
  </w:num>
  <w:num w:numId="21">
    <w:abstractNumId w:val="26"/>
  </w:num>
  <w:num w:numId="22">
    <w:abstractNumId w:val="35"/>
  </w:num>
  <w:num w:numId="23">
    <w:abstractNumId w:val="15"/>
  </w:num>
  <w:num w:numId="24">
    <w:abstractNumId w:val="25"/>
  </w:num>
  <w:num w:numId="25">
    <w:abstractNumId w:val="16"/>
  </w:num>
  <w:num w:numId="26">
    <w:abstractNumId w:val="3"/>
  </w:num>
  <w:num w:numId="27">
    <w:abstractNumId w:val="9"/>
  </w:num>
  <w:num w:numId="28">
    <w:abstractNumId w:val="10"/>
  </w:num>
  <w:num w:numId="29">
    <w:abstractNumId w:val="8"/>
  </w:num>
  <w:num w:numId="30">
    <w:abstractNumId w:val="4"/>
  </w:num>
  <w:num w:numId="31">
    <w:abstractNumId w:val="14"/>
  </w:num>
  <w:num w:numId="32">
    <w:abstractNumId w:val="30"/>
  </w:num>
  <w:num w:numId="33">
    <w:abstractNumId w:val="1"/>
  </w:num>
  <w:num w:numId="34">
    <w:abstractNumId w:val="21"/>
  </w:num>
  <w:num w:numId="35">
    <w:abstractNumId w:val="18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DA1DB6"/>
    <w:rsid w:val="00005B7F"/>
    <w:rsid w:val="00005B86"/>
    <w:rsid w:val="00014057"/>
    <w:rsid w:val="000209E2"/>
    <w:rsid w:val="00021BB5"/>
    <w:rsid w:val="00022828"/>
    <w:rsid w:val="000238CA"/>
    <w:rsid w:val="00027A11"/>
    <w:rsid w:val="000304D5"/>
    <w:rsid w:val="00033AA4"/>
    <w:rsid w:val="00035C91"/>
    <w:rsid w:val="000378B3"/>
    <w:rsid w:val="00041E41"/>
    <w:rsid w:val="00042168"/>
    <w:rsid w:val="00044C1B"/>
    <w:rsid w:val="00045E4B"/>
    <w:rsid w:val="00046C3C"/>
    <w:rsid w:val="00052B7C"/>
    <w:rsid w:val="0005644A"/>
    <w:rsid w:val="0005757A"/>
    <w:rsid w:val="0006063F"/>
    <w:rsid w:val="00062D4F"/>
    <w:rsid w:val="0006423E"/>
    <w:rsid w:val="000670D5"/>
    <w:rsid w:val="00075DCD"/>
    <w:rsid w:val="000812E2"/>
    <w:rsid w:val="00081F0D"/>
    <w:rsid w:val="0008258A"/>
    <w:rsid w:val="00083DE4"/>
    <w:rsid w:val="000849E9"/>
    <w:rsid w:val="00086D57"/>
    <w:rsid w:val="00097B8D"/>
    <w:rsid w:val="000A21DB"/>
    <w:rsid w:val="000B260F"/>
    <w:rsid w:val="000B7BDC"/>
    <w:rsid w:val="000C07A3"/>
    <w:rsid w:val="000C1CAB"/>
    <w:rsid w:val="000C461E"/>
    <w:rsid w:val="000D365A"/>
    <w:rsid w:val="000D3A7A"/>
    <w:rsid w:val="000D7E04"/>
    <w:rsid w:val="000E0605"/>
    <w:rsid w:val="000E0EFC"/>
    <w:rsid w:val="000E2988"/>
    <w:rsid w:val="000E5B85"/>
    <w:rsid w:val="000F047F"/>
    <w:rsid w:val="000F1265"/>
    <w:rsid w:val="000F26C4"/>
    <w:rsid w:val="000F3698"/>
    <w:rsid w:val="000F3CEB"/>
    <w:rsid w:val="00106BDE"/>
    <w:rsid w:val="00107400"/>
    <w:rsid w:val="001110FF"/>
    <w:rsid w:val="001144E0"/>
    <w:rsid w:val="001147DE"/>
    <w:rsid w:val="00115265"/>
    <w:rsid w:val="001172CE"/>
    <w:rsid w:val="00124CBE"/>
    <w:rsid w:val="00124F30"/>
    <w:rsid w:val="0013172A"/>
    <w:rsid w:val="001326A9"/>
    <w:rsid w:val="001358D3"/>
    <w:rsid w:val="0014486F"/>
    <w:rsid w:val="001554BF"/>
    <w:rsid w:val="00156838"/>
    <w:rsid w:val="00161387"/>
    <w:rsid w:val="00162A55"/>
    <w:rsid w:val="00173017"/>
    <w:rsid w:val="001755CA"/>
    <w:rsid w:val="001840BC"/>
    <w:rsid w:val="001844FA"/>
    <w:rsid w:val="0018695F"/>
    <w:rsid w:val="0019239B"/>
    <w:rsid w:val="001928FF"/>
    <w:rsid w:val="00192960"/>
    <w:rsid w:val="00194152"/>
    <w:rsid w:val="00196019"/>
    <w:rsid w:val="00197018"/>
    <w:rsid w:val="001A20B4"/>
    <w:rsid w:val="001A41DE"/>
    <w:rsid w:val="001A58C4"/>
    <w:rsid w:val="001B4BBC"/>
    <w:rsid w:val="001B770B"/>
    <w:rsid w:val="001C3E2E"/>
    <w:rsid w:val="001C6BA0"/>
    <w:rsid w:val="001D11F8"/>
    <w:rsid w:val="001D1DC0"/>
    <w:rsid w:val="001D2418"/>
    <w:rsid w:val="001D5EB5"/>
    <w:rsid w:val="001D6F1A"/>
    <w:rsid w:val="001E1B13"/>
    <w:rsid w:val="001E2247"/>
    <w:rsid w:val="001E242F"/>
    <w:rsid w:val="001E54AF"/>
    <w:rsid w:val="001F3372"/>
    <w:rsid w:val="0020310E"/>
    <w:rsid w:val="0020374D"/>
    <w:rsid w:val="00205B85"/>
    <w:rsid w:val="0020608D"/>
    <w:rsid w:val="002104CC"/>
    <w:rsid w:val="00211F0F"/>
    <w:rsid w:val="00217B5B"/>
    <w:rsid w:val="00217F6F"/>
    <w:rsid w:val="00232030"/>
    <w:rsid w:val="002340B7"/>
    <w:rsid w:val="0023536A"/>
    <w:rsid w:val="00242DB8"/>
    <w:rsid w:val="002558F6"/>
    <w:rsid w:val="00256E57"/>
    <w:rsid w:val="002636D5"/>
    <w:rsid w:val="00265199"/>
    <w:rsid w:val="002723AA"/>
    <w:rsid w:val="00274CC6"/>
    <w:rsid w:val="0028294F"/>
    <w:rsid w:val="00283FCE"/>
    <w:rsid w:val="002856B4"/>
    <w:rsid w:val="00286624"/>
    <w:rsid w:val="00286902"/>
    <w:rsid w:val="00286FDB"/>
    <w:rsid w:val="0029380C"/>
    <w:rsid w:val="002938E5"/>
    <w:rsid w:val="002A07F9"/>
    <w:rsid w:val="002A2B17"/>
    <w:rsid w:val="002A307E"/>
    <w:rsid w:val="002A61B7"/>
    <w:rsid w:val="002A6F98"/>
    <w:rsid w:val="002B4F54"/>
    <w:rsid w:val="002D2099"/>
    <w:rsid w:val="002E4FD5"/>
    <w:rsid w:val="002E5062"/>
    <w:rsid w:val="002E64E2"/>
    <w:rsid w:val="002E781B"/>
    <w:rsid w:val="002E7E6C"/>
    <w:rsid w:val="00303211"/>
    <w:rsid w:val="00314B53"/>
    <w:rsid w:val="003205B2"/>
    <w:rsid w:val="00320B8D"/>
    <w:rsid w:val="003229C3"/>
    <w:rsid w:val="003253AF"/>
    <w:rsid w:val="00326167"/>
    <w:rsid w:val="0032735E"/>
    <w:rsid w:val="00334B23"/>
    <w:rsid w:val="003427EA"/>
    <w:rsid w:val="00342E88"/>
    <w:rsid w:val="003473E6"/>
    <w:rsid w:val="00353BAA"/>
    <w:rsid w:val="00370E87"/>
    <w:rsid w:val="00382AD4"/>
    <w:rsid w:val="00382E31"/>
    <w:rsid w:val="00394D9D"/>
    <w:rsid w:val="003974C7"/>
    <w:rsid w:val="00397C33"/>
    <w:rsid w:val="003A06FB"/>
    <w:rsid w:val="003A7F9C"/>
    <w:rsid w:val="003B48FD"/>
    <w:rsid w:val="003B591F"/>
    <w:rsid w:val="003C2E24"/>
    <w:rsid w:val="003E0F9A"/>
    <w:rsid w:val="003E36C8"/>
    <w:rsid w:val="003E3CA7"/>
    <w:rsid w:val="003E3D02"/>
    <w:rsid w:val="003F4B0A"/>
    <w:rsid w:val="004155D7"/>
    <w:rsid w:val="004173B1"/>
    <w:rsid w:val="0042275F"/>
    <w:rsid w:val="0042455B"/>
    <w:rsid w:val="004260F8"/>
    <w:rsid w:val="004269CF"/>
    <w:rsid w:val="00432514"/>
    <w:rsid w:val="004326D1"/>
    <w:rsid w:val="00435F42"/>
    <w:rsid w:val="0045209E"/>
    <w:rsid w:val="004557E1"/>
    <w:rsid w:val="004604EC"/>
    <w:rsid w:val="0046120B"/>
    <w:rsid w:val="004631AF"/>
    <w:rsid w:val="00463783"/>
    <w:rsid w:val="00465CA8"/>
    <w:rsid w:val="00472CFB"/>
    <w:rsid w:val="004738DB"/>
    <w:rsid w:val="00477711"/>
    <w:rsid w:val="00484D41"/>
    <w:rsid w:val="00497DB5"/>
    <w:rsid w:val="004A1F3C"/>
    <w:rsid w:val="004A66A4"/>
    <w:rsid w:val="004B272A"/>
    <w:rsid w:val="004B3684"/>
    <w:rsid w:val="004B5FEB"/>
    <w:rsid w:val="004C7499"/>
    <w:rsid w:val="004D65E9"/>
    <w:rsid w:val="004F16A9"/>
    <w:rsid w:val="004F4F18"/>
    <w:rsid w:val="004F61BC"/>
    <w:rsid w:val="004F7BA2"/>
    <w:rsid w:val="00502643"/>
    <w:rsid w:val="005036EF"/>
    <w:rsid w:val="005146A3"/>
    <w:rsid w:val="00514ECD"/>
    <w:rsid w:val="0052406B"/>
    <w:rsid w:val="00525293"/>
    <w:rsid w:val="00526B75"/>
    <w:rsid w:val="00526F6C"/>
    <w:rsid w:val="005274AE"/>
    <w:rsid w:val="0053340E"/>
    <w:rsid w:val="005435C3"/>
    <w:rsid w:val="0054367D"/>
    <w:rsid w:val="00563B58"/>
    <w:rsid w:val="00567F1B"/>
    <w:rsid w:val="005714E4"/>
    <w:rsid w:val="0058452D"/>
    <w:rsid w:val="005850F7"/>
    <w:rsid w:val="00587916"/>
    <w:rsid w:val="0059609B"/>
    <w:rsid w:val="00597643"/>
    <w:rsid w:val="005A338C"/>
    <w:rsid w:val="005A53C1"/>
    <w:rsid w:val="005C12FF"/>
    <w:rsid w:val="005C1D8E"/>
    <w:rsid w:val="005C292C"/>
    <w:rsid w:val="005C6290"/>
    <w:rsid w:val="005D477B"/>
    <w:rsid w:val="005E6CDB"/>
    <w:rsid w:val="005F1AD7"/>
    <w:rsid w:val="005F267D"/>
    <w:rsid w:val="005F41F4"/>
    <w:rsid w:val="00600887"/>
    <w:rsid w:val="00600F1A"/>
    <w:rsid w:val="00600F95"/>
    <w:rsid w:val="00602D24"/>
    <w:rsid w:val="0061317E"/>
    <w:rsid w:val="0062028C"/>
    <w:rsid w:val="0062223B"/>
    <w:rsid w:val="006248CB"/>
    <w:rsid w:val="006249FC"/>
    <w:rsid w:val="00634DB7"/>
    <w:rsid w:val="0064179C"/>
    <w:rsid w:val="00642C05"/>
    <w:rsid w:val="0064464E"/>
    <w:rsid w:val="006465A0"/>
    <w:rsid w:val="006476A9"/>
    <w:rsid w:val="00651DDF"/>
    <w:rsid w:val="00656CCF"/>
    <w:rsid w:val="00660071"/>
    <w:rsid w:val="006678EF"/>
    <w:rsid w:val="00670FEF"/>
    <w:rsid w:val="00672B51"/>
    <w:rsid w:val="006821CA"/>
    <w:rsid w:val="00687F6A"/>
    <w:rsid w:val="00690912"/>
    <w:rsid w:val="006919F7"/>
    <w:rsid w:val="00692B62"/>
    <w:rsid w:val="00693345"/>
    <w:rsid w:val="0069792F"/>
    <w:rsid w:val="006A710F"/>
    <w:rsid w:val="006A7C7A"/>
    <w:rsid w:val="006B081F"/>
    <w:rsid w:val="006B15F6"/>
    <w:rsid w:val="006B7B9B"/>
    <w:rsid w:val="006C6D8C"/>
    <w:rsid w:val="006D38A8"/>
    <w:rsid w:val="006E1925"/>
    <w:rsid w:val="006E1BD7"/>
    <w:rsid w:val="006E596E"/>
    <w:rsid w:val="006E6348"/>
    <w:rsid w:val="006F6E79"/>
    <w:rsid w:val="006F79CC"/>
    <w:rsid w:val="00700CA1"/>
    <w:rsid w:val="00707002"/>
    <w:rsid w:val="00711358"/>
    <w:rsid w:val="007115C8"/>
    <w:rsid w:val="00713486"/>
    <w:rsid w:val="007164A7"/>
    <w:rsid w:val="00717CFB"/>
    <w:rsid w:val="00724EC3"/>
    <w:rsid w:val="00724F17"/>
    <w:rsid w:val="0072757C"/>
    <w:rsid w:val="00736CF8"/>
    <w:rsid w:val="007403A5"/>
    <w:rsid w:val="00740ED3"/>
    <w:rsid w:val="007471E1"/>
    <w:rsid w:val="00751DD5"/>
    <w:rsid w:val="00754486"/>
    <w:rsid w:val="007621BB"/>
    <w:rsid w:val="007629E4"/>
    <w:rsid w:val="00762AAF"/>
    <w:rsid w:val="00770343"/>
    <w:rsid w:val="007722F6"/>
    <w:rsid w:val="0077319A"/>
    <w:rsid w:val="00775947"/>
    <w:rsid w:val="0078395A"/>
    <w:rsid w:val="00783C35"/>
    <w:rsid w:val="007868FC"/>
    <w:rsid w:val="00790D06"/>
    <w:rsid w:val="00792B3D"/>
    <w:rsid w:val="007951F9"/>
    <w:rsid w:val="00796C22"/>
    <w:rsid w:val="007A0A06"/>
    <w:rsid w:val="007B1818"/>
    <w:rsid w:val="007B2636"/>
    <w:rsid w:val="007B4470"/>
    <w:rsid w:val="007B5120"/>
    <w:rsid w:val="007C64F6"/>
    <w:rsid w:val="007D0913"/>
    <w:rsid w:val="007D478B"/>
    <w:rsid w:val="007D66F3"/>
    <w:rsid w:val="007E3510"/>
    <w:rsid w:val="007E5F26"/>
    <w:rsid w:val="007E749F"/>
    <w:rsid w:val="00803B80"/>
    <w:rsid w:val="00806D7C"/>
    <w:rsid w:val="008078D1"/>
    <w:rsid w:val="00807B78"/>
    <w:rsid w:val="00817D86"/>
    <w:rsid w:val="00820546"/>
    <w:rsid w:val="00820F53"/>
    <w:rsid w:val="008217FE"/>
    <w:rsid w:val="0082516D"/>
    <w:rsid w:val="00826830"/>
    <w:rsid w:val="00832BF9"/>
    <w:rsid w:val="00832FD2"/>
    <w:rsid w:val="00833363"/>
    <w:rsid w:val="00860289"/>
    <w:rsid w:val="0086281E"/>
    <w:rsid w:val="008671BF"/>
    <w:rsid w:val="008773FD"/>
    <w:rsid w:val="00890596"/>
    <w:rsid w:val="00891654"/>
    <w:rsid w:val="00894B15"/>
    <w:rsid w:val="00894B56"/>
    <w:rsid w:val="00896096"/>
    <w:rsid w:val="00896A60"/>
    <w:rsid w:val="008A2DB6"/>
    <w:rsid w:val="008A494D"/>
    <w:rsid w:val="008A5310"/>
    <w:rsid w:val="008A7AC2"/>
    <w:rsid w:val="008A7B8B"/>
    <w:rsid w:val="008B0B77"/>
    <w:rsid w:val="008C2090"/>
    <w:rsid w:val="008D0B77"/>
    <w:rsid w:val="008D2576"/>
    <w:rsid w:val="008D7450"/>
    <w:rsid w:val="008E42ED"/>
    <w:rsid w:val="008E5264"/>
    <w:rsid w:val="008F114B"/>
    <w:rsid w:val="008F2A73"/>
    <w:rsid w:val="00905853"/>
    <w:rsid w:val="00922544"/>
    <w:rsid w:val="00925FD9"/>
    <w:rsid w:val="00934C63"/>
    <w:rsid w:val="00951916"/>
    <w:rsid w:val="009568D9"/>
    <w:rsid w:val="0096138F"/>
    <w:rsid w:val="00961A2E"/>
    <w:rsid w:val="009652C2"/>
    <w:rsid w:val="00967DD5"/>
    <w:rsid w:val="00982BD5"/>
    <w:rsid w:val="00990483"/>
    <w:rsid w:val="00995080"/>
    <w:rsid w:val="00995C1A"/>
    <w:rsid w:val="009A299C"/>
    <w:rsid w:val="009A30F4"/>
    <w:rsid w:val="009A38C2"/>
    <w:rsid w:val="009A5603"/>
    <w:rsid w:val="009A7190"/>
    <w:rsid w:val="009B0965"/>
    <w:rsid w:val="009B2D8A"/>
    <w:rsid w:val="009B56EC"/>
    <w:rsid w:val="009C13D4"/>
    <w:rsid w:val="009C4830"/>
    <w:rsid w:val="009C4A53"/>
    <w:rsid w:val="009C512C"/>
    <w:rsid w:val="009C5C74"/>
    <w:rsid w:val="009C6E5F"/>
    <w:rsid w:val="009D1F9C"/>
    <w:rsid w:val="009D2ADB"/>
    <w:rsid w:val="009D2D72"/>
    <w:rsid w:val="009D4931"/>
    <w:rsid w:val="009D649F"/>
    <w:rsid w:val="009D6825"/>
    <w:rsid w:val="009E2BD0"/>
    <w:rsid w:val="009E4710"/>
    <w:rsid w:val="009E666C"/>
    <w:rsid w:val="009F44E0"/>
    <w:rsid w:val="009F6713"/>
    <w:rsid w:val="00A03245"/>
    <w:rsid w:val="00A05876"/>
    <w:rsid w:val="00A06F22"/>
    <w:rsid w:val="00A16B72"/>
    <w:rsid w:val="00A20A05"/>
    <w:rsid w:val="00A31698"/>
    <w:rsid w:val="00A33948"/>
    <w:rsid w:val="00A36168"/>
    <w:rsid w:val="00A3732F"/>
    <w:rsid w:val="00A46DE5"/>
    <w:rsid w:val="00A52B2B"/>
    <w:rsid w:val="00A544FF"/>
    <w:rsid w:val="00A5751D"/>
    <w:rsid w:val="00A70386"/>
    <w:rsid w:val="00A7674A"/>
    <w:rsid w:val="00A76929"/>
    <w:rsid w:val="00A81550"/>
    <w:rsid w:val="00A82A4A"/>
    <w:rsid w:val="00A86558"/>
    <w:rsid w:val="00A878E9"/>
    <w:rsid w:val="00A92BC3"/>
    <w:rsid w:val="00A936FF"/>
    <w:rsid w:val="00AA5266"/>
    <w:rsid w:val="00AB0AB6"/>
    <w:rsid w:val="00AB35FD"/>
    <w:rsid w:val="00AB360B"/>
    <w:rsid w:val="00AB6E4C"/>
    <w:rsid w:val="00AB6F6B"/>
    <w:rsid w:val="00AB778A"/>
    <w:rsid w:val="00AC2908"/>
    <w:rsid w:val="00AC2CCB"/>
    <w:rsid w:val="00AC6865"/>
    <w:rsid w:val="00AD0865"/>
    <w:rsid w:val="00AD1D04"/>
    <w:rsid w:val="00AE27A7"/>
    <w:rsid w:val="00B0280B"/>
    <w:rsid w:val="00B15D5B"/>
    <w:rsid w:val="00B232DE"/>
    <w:rsid w:val="00B30A4C"/>
    <w:rsid w:val="00B3488A"/>
    <w:rsid w:val="00B34EA9"/>
    <w:rsid w:val="00B369BB"/>
    <w:rsid w:val="00B424C6"/>
    <w:rsid w:val="00B51283"/>
    <w:rsid w:val="00B56B97"/>
    <w:rsid w:val="00B56BE8"/>
    <w:rsid w:val="00B7247C"/>
    <w:rsid w:val="00B738C8"/>
    <w:rsid w:val="00B7429F"/>
    <w:rsid w:val="00B74A9E"/>
    <w:rsid w:val="00B75D2D"/>
    <w:rsid w:val="00B762AA"/>
    <w:rsid w:val="00B77247"/>
    <w:rsid w:val="00B852C7"/>
    <w:rsid w:val="00B86620"/>
    <w:rsid w:val="00B91E1E"/>
    <w:rsid w:val="00B92398"/>
    <w:rsid w:val="00B92D46"/>
    <w:rsid w:val="00B93F59"/>
    <w:rsid w:val="00B9632A"/>
    <w:rsid w:val="00B96FC8"/>
    <w:rsid w:val="00BA3020"/>
    <w:rsid w:val="00BB0ABF"/>
    <w:rsid w:val="00BB58C1"/>
    <w:rsid w:val="00BC0534"/>
    <w:rsid w:val="00BC4F2F"/>
    <w:rsid w:val="00BC62CA"/>
    <w:rsid w:val="00BD4AAA"/>
    <w:rsid w:val="00BE5DA2"/>
    <w:rsid w:val="00BF0482"/>
    <w:rsid w:val="00BF1810"/>
    <w:rsid w:val="00BF4AA6"/>
    <w:rsid w:val="00BF6C40"/>
    <w:rsid w:val="00BF7D24"/>
    <w:rsid w:val="00C11A1D"/>
    <w:rsid w:val="00C135E7"/>
    <w:rsid w:val="00C173E3"/>
    <w:rsid w:val="00C21E6D"/>
    <w:rsid w:val="00C232E8"/>
    <w:rsid w:val="00C32854"/>
    <w:rsid w:val="00C34899"/>
    <w:rsid w:val="00C464E3"/>
    <w:rsid w:val="00C46A29"/>
    <w:rsid w:val="00C51655"/>
    <w:rsid w:val="00C56C88"/>
    <w:rsid w:val="00C73358"/>
    <w:rsid w:val="00C73EAF"/>
    <w:rsid w:val="00C74616"/>
    <w:rsid w:val="00C9155A"/>
    <w:rsid w:val="00C94F06"/>
    <w:rsid w:val="00CA12FD"/>
    <w:rsid w:val="00CA426B"/>
    <w:rsid w:val="00CB6A57"/>
    <w:rsid w:val="00CB73DA"/>
    <w:rsid w:val="00CC2003"/>
    <w:rsid w:val="00D06F37"/>
    <w:rsid w:val="00D16CF9"/>
    <w:rsid w:val="00D1789F"/>
    <w:rsid w:val="00D222D0"/>
    <w:rsid w:val="00D25A78"/>
    <w:rsid w:val="00D27279"/>
    <w:rsid w:val="00D274CD"/>
    <w:rsid w:val="00D27BA1"/>
    <w:rsid w:val="00D3021F"/>
    <w:rsid w:val="00D329CA"/>
    <w:rsid w:val="00D36230"/>
    <w:rsid w:val="00D40866"/>
    <w:rsid w:val="00D4131F"/>
    <w:rsid w:val="00D44558"/>
    <w:rsid w:val="00D44DDC"/>
    <w:rsid w:val="00D4703E"/>
    <w:rsid w:val="00D52A48"/>
    <w:rsid w:val="00D6375D"/>
    <w:rsid w:val="00D71408"/>
    <w:rsid w:val="00D71EB8"/>
    <w:rsid w:val="00D7473C"/>
    <w:rsid w:val="00D750F2"/>
    <w:rsid w:val="00D76243"/>
    <w:rsid w:val="00D77E6F"/>
    <w:rsid w:val="00D84C51"/>
    <w:rsid w:val="00D9290C"/>
    <w:rsid w:val="00D9451C"/>
    <w:rsid w:val="00DA1DB6"/>
    <w:rsid w:val="00DA4A80"/>
    <w:rsid w:val="00DA6BD1"/>
    <w:rsid w:val="00DB3299"/>
    <w:rsid w:val="00DB7332"/>
    <w:rsid w:val="00DC1F6A"/>
    <w:rsid w:val="00DC40A5"/>
    <w:rsid w:val="00DC66CD"/>
    <w:rsid w:val="00DC793B"/>
    <w:rsid w:val="00DD1C12"/>
    <w:rsid w:val="00DE2B74"/>
    <w:rsid w:val="00DE3DCC"/>
    <w:rsid w:val="00DF2032"/>
    <w:rsid w:val="00DF6BBC"/>
    <w:rsid w:val="00E023FB"/>
    <w:rsid w:val="00E13688"/>
    <w:rsid w:val="00E20940"/>
    <w:rsid w:val="00E22138"/>
    <w:rsid w:val="00E30B0A"/>
    <w:rsid w:val="00E41F86"/>
    <w:rsid w:val="00E42F4E"/>
    <w:rsid w:val="00E43231"/>
    <w:rsid w:val="00E47C02"/>
    <w:rsid w:val="00E548D9"/>
    <w:rsid w:val="00E57B45"/>
    <w:rsid w:val="00E62259"/>
    <w:rsid w:val="00E71B18"/>
    <w:rsid w:val="00E74C3D"/>
    <w:rsid w:val="00E879A7"/>
    <w:rsid w:val="00E92C16"/>
    <w:rsid w:val="00E94AF6"/>
    <w:rsid w:val="00E961AC"/>
    <w:rsid w:val="00EA032E"/>
    <w:rsid w:val="00EA0AB8"/>
    <w:rsid w:val="00EA2BDB"/>
    <w:rsid w:val="00EA6A35"/>
    <w:rsid w:val="00EA6D0E"/>
    <w:rsid w:val="00EC0583"/>
    <w:rsid w:val="00ED08D5"/>
    <w:rsid w:val="00EE61E5"/>
    <w:rsid w:val="00EF617F"/>
    <w:rsid w:val="00EF64F4"/>
    <w:rsid w:val="00F01772"/>
    <w:rsid w:val="00F02C14"/>
    <w:rsid w:val="00F06470"/>
    <w:rsid w:val="00F12B74"/>
    <w:rsid w:val="00F249C2"/>
    <w:rsid w:val="00F24CBC"/>
    <w:rsid w:val="00F34C6E"/>
    <w:rsid w:val="00F448D7"/>
    <w:rsid w:val="00F470DB"/>
    <w:rsid w:val="00F56F5B"/>
    <w:rsid w:val="00F64F59"/>
    <w:rsid w:val="00F754A0"/>
    <w:rsid w:val="00F767E0"/>
    <w:rsid w:val="00F804A5"/>
    <w:rsid w:val="00F977A2"/>
    <w:rsid w:val="00FB1E0F"/>
    <w:rsid w:val="00FB4606"/>
    <w:rsid w:val="00FC0982"/>
    <w:rsid w:val="00FC1924"/>
    <w:rsid w:val="00FC374D"/>
    <w:rsid w:val="00FC3B49"/>
    <w:rsid w:val="00FC6404"/>
    <w:rsid w:val="00FD38FF"/>
    <w:rsid w:val="00FE2781"/>
    <w:rsid w:val="00FE456F"/>
    <w:rsid w:val="00FE5C63"/>
    <w:rsid w:val="00FF36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500D2DE"/>
  <w15:docId w15:val="{A754DDF5-557F-4247-9857-C4F18A0A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06B"/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21F"/>
    <w:pPr>
      <w:numPr>
        <w:numId w:val="7"/>
      </w:numPr>
      <w:shd w:val="clear" w:color="auto" w:fill="D9D9D9" w:themeFill="background1" w:themeFillShade="D9"/>
      <w:spacing w:line="360" w:lineRule="auto"/>
      <w:outlineLvl w:val="0"/>
    </w:pPr>
    <w:rPr>
      <w:rFonts w:eastAsia="Calibri" w:cs="Arial"/>
      <w:b/>
      <w:caps/>
      <w:color w:val="000000" w:themeColor="text1"/>
      <w:sz w:val="22"/>
      <w:szCs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B1818"/>
    <w:pPr>
      <w:shd w:val="clear" w:color="auto" w:fill="F2F2F2" w:themeFill="background1" w:themeFillShade="F2"/>
      <w:spacing w:after="120" w:line="276" w:lineRule="auto"/>
      <w:ind w:left="576"/>
      <w:outlineLvl w:val="1"/>
    </w:pPr>
    <w:rPr>
      <w:rFonts w:ascii="Verdana" w:hAnsi="Verdana" w:cs="Arial"/>
      <w:b/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FEB"/>
    <w:pPr>
      <w:keepNext/>
      <w:keepLines/>
      <w:spacing w:before="100" w:beforeAutospacing="1"/>
      <w:ind w:left="720"/>
      <w:outlineLvl w:val="2"/>
    </w:pPr>
    <w:rPr>
      <w:rFonts w:cstheme="majorBidi"/>
      <w:b/>
      <w:i/>
      <w:color w:val="243F60" w:themeColor="accent1" w:themeShade="7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73FD"/>
    <w:pPr>
      <w:keepNext/>
      <w:keepLines/>
      <w:spacing w:before="240"/>
      <w:outlineLvl w:val="3"/>
    </w:pPr>
    <w:rPr>
      <w:rFonts w:eastAsiaTheme="majorEastAsia" w:cstheme="majorBidi"/>
      <w:i/>
      <w:iCs/>
      <w:color w:val="365F91" w:themeColor="accent1" w:themeShade="BF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1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1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128"/>
    <w:rPr>
      <w:sz w:val="24"/>
      <w:szCs w:val="24"/>
    </w:rPr>
  </w:style>
  <w:style w:type="paragraph" w:customStyle="1" w:styleId="Default">
    <w:name w:val="Default"/>
    <w:rsid w:val="00961A2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aliases w:val="Normal bullet 2,Bullet list,List Paragraph1,Numbered List,1st level - Bullet List Paragraph,Lettre d'introduction,lp1"/>
    <w:basedOn w:val="Normal"/>
    <w:link w:val="ListParagraphChar"/>
    <w:uiPriority w:val="34"/>
    <w:qFormat/>
    <w:rsid w:val="00961A2E"/>
    <w:pPr>
      <w:suppressAutoHyphens/>
      <w:autoSpaceDN w:val="0"/>
      <w:spacing w:after="240"/>
      <w:ind w:left="720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rsid w:val="00E961AC"/>
    <w:pPr>
      <w:suppressAutoHyphens/>
      <w:autoSpaceDN w:val="0"/>
      <w:spacing w:after="24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61A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rsid w:val="00E961AC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AC"/>
    <w:rPr>
      <w:rFonts w:ascii="Tahoma" w:hAnsi="Tahoma" w:cs="Tahoma"/>
      <w:sz w:val="16"/>
      <w:szCs w:val="16"/>
      <w:lang w:val="pt-PT" w:eastAsia="en-US"/>
    </w:rPr>
  </w:style>
  <w:style w:type="character" w:styleId="Hyperlink">
    <w:name w:val="Hyperlink"/>
    <w:uiPriority w:val="99"/>
    <w:unhideWhenUsed/>
    <w:rsid w:val="00E961A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F26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6C4"/>
    <w:rPr>
      <w:rFonts w:ascii="Verdana" w:hAnsi="Verdana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DB"/>
    <w:rPr>
      <w:rFonts w:ascii="Verdana" w:hAnsi="Verdana"/>
      <w:b/>
      <w:bCs/>
      <w:lang w:val="pt-PT" w:eastAsia="en-US"/>
    </w:rPr>
  </w:style>
  <w:style w:type="table" w:styleId="TableGrid">
    <w:name w:val="Table Grid"/>
    <w:basedOn w:val="TableNormal"/>
    <w:uiPriority w:val="59"/>
    <w:rsid w:val="009B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lp1 Char"/>
    <w:link w:val="ListParagraph"/>
    <w:uiPriority w:val="34"/>
    <w:rsid w:val="00D3021F"/>
    <w:rPr>
      <w:rFonts w:ascii="Times New Roman" w:eastAsia="Times New Roman" w:hAnsi="Times New Roman"/>
      <w:sz w:val="18"/>
      <w:lang w:eastAsia="en-US"/>
    </w:rPr>
  </w:style>
  <w:style w:type="paragraph" w:customStyle="1" w:styleId="a">
    <w:name w:val="a"/>
    <w:basedOn w:val="Normal"/>
    <w:uiPriority w:val="99"/>
    <w:rsid w:val="00951916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  <w:szCs w:val="20"/>
      <w:lang w:eastAsia="fr-FR"/>
    </w:rPr>
  </w:style>
  <w:style w:type="paragraph" w:customStyle="1" w:styleId="v">
    <w:name w:val="v"/>
    <w:basedOn w:val="Normal"/>
    <w:uiPriority w:val="99"/>
    <w:rsid w:val="00951916"/>
    <w:pPr>
      <w:overflowPunct w:val="0"/>
      <w:autoSpaceDE w:val="0"/>
      <w:autoSpaceDN w:val="0"/>
      <w:adjustRightInd w:val="0"/>
      <w:ind w:left="562" w:hanging="562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styleId="Emphasis">
    <w:name w:val="Emphasis"/>
    <w:basedOn w:val="DefaultParagraphFont"/>
    <w:uiPriority w:val="20"/>
    <w:qFormat/>
    <w:rsid w:val="008D257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D2576"/>
    <w:pPr>
      <w:pBdr>
        <w:bottom w:val="single" w:sz="12" w:space="1" w:color="1F497D" w:themeColor="text2"/>
      </w:pBdr>
      <w:suppressAutoHyphens/>
      <w:spacing w:after="120" w:line="276" w:lineRule="auto"/>
      <w:contextualSpacing/>
      <w:jc w:val="both"/>
      <w:textAlignment w:val="baseline"/>
    </w:pPr>
    <w:rPr>
      <w:rFonts w:ascii="Calibri" w:eastAsiaTheme="majorEastAsia" w:hAnsi="Calibri" w:cstheme="majorBidi"/>
      <w:b/>
      <w:smallCap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821CA"/>
    <w:rPr>
      <w:rFonts w:ascii="Calibri" w:eastAsiaTheme="majorEastAsia" w:hAnsi="Calibri" w:cstheme="majorBidi"/>
      <w:b/>
      <w:smallCaps/>
      <w:spacing w:val="-10"/>
      <w:kern w:val="28"/>
      <w:sz w:val="40"/>
      <w:szCs w:val="40"/>
      <w:lang w:eastAsia="en-US"/>
    </w:rPr>
  </w:style>
  <w:style w:type="paragraph" w:customStyle="1" w:styleId="w">
    <w:name w:val="w"/>
    <w:basedOn w:val="Normal"/>
    <w:uiPriority w:val="99"/>
    <w:rsid w:val="00B75D2D"/>
    <w:pPr>
      <w:numPr>
        <w:numId w:val="5"/>
      </w:numPr>
      <w:jc w:val="both"/>
    </w:pPr>
    <w:rPr>
      <w:rFonts w:ascii="Arial" w:eastAsia="Times New Roman" w:hAnsi="Arial"/>
      <w:sz w:val="22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DB733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21F"/>
    <w:rPr>
      <w:rFonts w:ascii="Verdana" w:eastAsia="Calibri" w:hAnsi="Verdana" w:cs="Arial"/>
      <w:b/>
      <w:caps/>
      <w:color w:val="000000" w:themeColor="text1"/>
      <w:sz w:val="22"/>
      <w:szCs w:val="22"/>
      <w:shd w:val="clear" w:color="auto" w:fill="D9D9D9" w:themeFill="background1" w:themeFillShade="D9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1818"/>
    <w:rPr>
      <w:rFonts w:ascii="Verdana" w:eastAsia="Times New Roman" w:hAnsi="Verdana" w:cs="Arial"/>
      <w:b/>
      <w:i/>
      <w:sz w:val="22"/>
      <w:szCs w:val="22"/>
      <w:shd w:val="clear" w:color="auto" w:fill="F2F2F2" w:themeFill="background1" w:themeFillShade="F2"/>
      <w:lang w:eastAsia="en-US"/>
    </w:rPr>
  </w:style>
  <w:style w:type="character" w:styleId="Strong">
    <w:name w:val="Strong"/>
    <w:qFormat/>
    <w:rsid w:val="007E5F26"/>
    <w:rPr>
      <w:b/>
      <w:bCs/>
    </w:rPr>
  </w:style>
  <w:style w:type="table" w:styleId="TableSubtle2">
    <w:name w:val="Table Subtle 2"/>
    <w:basedOn w:val="TableNormal"/>
    <w:uiPriority w:val="99"/>
    <w:rsid w:val="00597643"/>
    <w:pPr>
      <w:spacing w:after="120"/>
      <w:ind w:lef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">
    <w:name w:val="Grid Table 4"/>
    <w:basedOn w:val="TableNormal"/>
    <w:uiPriority w:val="49"/>
    <w:rsid w:val="005976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B5FEB"/>
    <w:rPr>
      <w:rFonts w:ascii="Verdana" w:hAnsi="Verdana" w:cstheme="majorBidi"/>
      <w:b/>
      <w:i/>
      <w:color w:val="243F60" w:themeColor="accent1" w:themeShade="7F"/>
      <w:lang w:val="pt-PT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2AA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8773FD"/>
    <w:rPr>
      <w:rFonts w:ascii="Verdana" w:eastAsiaTheme="majorEastAsia" w:hAnsi="Verdana" w:cstheme="majorBidi"/>
      <w:i/>
      <w:iCs/>
      <w:color w:val="365F91" w:themeColor="accent1" w:themeShade="BF"/>
      <w:sz w:val="18"/>
      <w:szCs w:val="18"/>
      <w:lang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6E596E"/>
    <w:pPr>
      <w:keepNext/>
      <w:keepLines/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E596E"/>
    <w:pPr>
      <w:spacing w:after="100"/>
      <w:ind w:left="180"/>
    </w:pPr>
  </w:style>
  <w:style w:type="paragraph" w:styleId="TOC1">
    <w:name w:val="toc 1"/>
    <w:basedOn w:val="Normal"/>
    <w:next w:val="Normal"/>
    <w:autoRedefine/>
    <w:uiPriority w:val="39"/>
    <w:unhideWhenUsed/>
    <w:rsid w:val="000B7BD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E596E"/>
    <w:pPr>
      <w:spacing w:after="100"/>
      <w:ind w:left="360"/>
    </w:pPr>
  </w:style>
  <w:style w:type="paragraph" w:customStyle="1" w:styleId="corpsdetexte">
    <w:name w:val="corps de texte"/>
    <w:basedOn w:val="Normal"/>
    <w:link w:val="corpsdetexteCar"/>
    <w:rsid w:val="0020374D"/>
    <w:pPr>
      <w:spacing w:after="120"/>
      <w:ind w:left="720"/>
    </w:pPr>
    <w:rPr>
      <w:szCs w:val="18"/>
    </w:rPr>
  </w:style>
  <w:style w:type="paragraph" w:customStyle="1" w:styleId="TEXTE">
    <w:name w:val="TEXTE"/>
    <w:basedOn w:val="corpsdetexte"/>
    <w:link w:val="TEXTECar"/>
    <w:qFormat/>
    <w:rsid w:val="00AB6E4C"/>
  </w:style>
  <w:style w:type="character" w:customStyle="1" w:styleId="corpsdetexteCar">
    <w:name w:val="corps de texte Car"/>
    <w:basedOn w:val="DefaultParagraphFont"/>
    <w:link w:val="corpsdetexte"/>
    <w:rsid w:val="0020374D"/>
    <w:rPr>
      <w:rFonts w:ascii="Verdana" w:hAnsi="Verdana"/>
      <w:sz w:val="18"/>
      <w:szCs w:val="18"/>
      <w:lang w:eastAsia="en-US"/>
    </w:rPr>
  </w:style>
  <w:style w:type="character" w:customStyle="1" w:styleId="TEXTECar">
    <w:name w:val="TEXTE Car"/>
    <w:basedOn w:val="corpsdetexteCar"/>
    <w:link w:val="TEXTE"/>
    <w:rsid w:val="00AB6E4C"/>
    <w:rPr>
      <w:rFonts w:ascii="Verdana" w:hAnsi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.europa.eu/europeaid/where/latin-america/country-cooperation/mexico/mexico_en.htm" TargetMode="External"/><Relationship Id="rId117" Type="http://schemas.openxmlformats.org/officeDocument/2006/relationships/hyperlink" Target="http://ec.europa.eu/europeaid/where/acp/country-cooperation/zimbabwe/zimbabwe_en.htm" TargetMode="External"/><Relationship Id="rId21" Type="http://schemas.openxmlformats.org/officeDocument/2006/relationships/hyperlink" Target="http://ec.europa.eu/europeaid/where/latin-america/country-cooperation/costa-rica/costa-rica_en.htm" TargetMode="External"/><Relationship Id="rId42" Type="http://schemas.openxmlformats.org/officeDocument/2006/relationships/hyperlink" Target="http://ec.europa.eu/europeaid/where/asia/country-cooperation/malaysia/malaysia_en.htm" TargetMode="External"/><Relationship Id="rId47" Type="http://schemas.openxmlformats.org/officeDocument/2006/relationships/hyperlink" Target="http://ec.europa.eu/europeaid/where/asia/country-cooperation/pakistan/pakistan_en.htm" TargetMode="External"/><Relationship Id="rId63" Type="http://schemas.openxmlformats.org/officeDocument/2006/relationships/hyperlink" Target="http://ec.europa.eu/europeaid/where/neighbourhood/country-cooperation/egypt/egypt_en.htm" TargetMode="External"/><Relationship Id="rId68" Type="http://schemas.openxmlformats.org/officeDocument/2006/relationships/hyperlink" Target="http://ec.europa.eu/europeaid/where/neighbourhood/country-cooperation/libya/libya_en.htm" TargetMode="External"/><Relationship Id="rId84" Type="http://schemas.openxmlformats.org/officeDocument/2006/relationships/hyperlink" Target="http://ec.europa.eu/europeaid/where/acp/country-cooperation/comoros/comoros_en.htm" TargetMode="External"/><Relationship Id="rId89" Type="http://schemas.openxmlformats.org/officeDocument/2006/relationships/hyperlink" Target="http://ec.europa.eu/europeaid/where/acp/country-cooperation/gambia/gambia_en.htm" TargetMode="External"/><Relationship Id="rId112" Type="http://schemas.openxmlformats.org/officeDocument/2006/relationships/hyperlink" Target="http://ec.europa.eu/europeaid/where/acp/country-cooperation/south-sudan/0-0-0-south-sudan_en.htm" TargetMode="External"/><Relationship Id="rId133" Type="http://schemas.openxmlformats.org/officeDocument/2006/relationships/hyperlink" Target="http://ec.europa.eu/europeaid/where/acp/country-cooperation/fiji/fiji_en.htm" TargetMode="External"/><Relationship Id="rId138" Type="http://schemas.openxmlformats.org/officeDocument/2006/relationships/hyperlink" Target="http://ec.europa.eu/europeaid/where/acp/country-cooperation/nauru/nauru_en.htm" TargetMode="External"/><Relationship Id="rId16" Type="http://schemas.openxmlformats.org/officeDocument/2006/relationships/hyperlink" Target="http://www.socieux.eu/" TargetMode="External"/><Relationship Id="rId107" Type="http://schemas.openxmlformats.org/officeDocument/2006/relationships/hyperlink" Target="http://ec.europa.eu/europeaid/where/acp/country-cooperation/seychelles/seychelles_en.htm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://ec.europa.eu/europeaid/where/latin-america/country-cooperation/venezuela/venezuela_en.htm" TargetMode="External"/><Relationship Id="rId37" Type="http://schemas.openxmlformats.org/officeDocument/2006/relationships/hyperlink" Target="http://ec.europa.eu/europeaid/where/asia/country-cooperation/china/china_en.htm" TargetMode="External"/><Relationship Id="rId53" Type="http://schemas.openxmlformats.org/officeDocument/2006/relationships/hyperlink" Target="http://ec.europa.eu/europeaid/where/asia/country-cooperation/tajikistan/tajikistan_en.htm" TargetMode="External"/><Relationship Id="rId58" Type="http://schemas.openxmlformats.org/officeDocument/2006/relationships/hyperlink" Target="http://ec.europa.eu/europeaid/where/gulf-region/country-cooperation/iraq/iraq_en.htm" TargetMode="External"/><Relationship Id="rId74" Type="http://schemas.openxmlformats.org/officeDocument/2006/relationships/hyperlink" Target="http://ec.europa.eu/europeaid/where/neighbourhood/country-cooperation/ukraine/ukraine_en.htm" TargetMode="External"/><Relationship Id="rId79" Type="http://schemas.openxmlformats.org/officeDocument/2006/relationships/hyperlink" Target="http://ec.europa.eu/europeaid/where/acp/country-cooperation/burkina-faso/burkina-faso_en.htm" TargetMode="External"/><Relationship Id="rId102" Type="http://schemas.openxmlformats.org/officeDocument/2006/relationships/hyperlink" Target="http://ec.europa.eu/europeaid/where/acp/country-cooperation/nigeria/nigeria_en.htm" TargetMode="External"/><Relationship Id="rId123" Type="http://schemas.openxmlformats.org/officeDocument/2006/relationships/hyperlink" Target="http://ec.europa.eu/europeaid/where/acp/country-cooperation/grenada/grenada_en.htm" TargetMode="External"/><Relationship Id="rId128" Type="http://schemas.openxmlformats.org/officeDocument/2006/relationships/hyperlink" Target="http://ec.europa.eu/europeaid/where/acp/country-cooperation/st-lucia/saint-lucia_en.htm" TargetMode="External"/><Relationship Id="rId144" Type="http://schemas.openxmlformats.org/officeDocument/2006/relationships/hyperlink" Target="http://ec.europa.eu/europeaid/where/acp/country-cooperation/east-timor/timor-leste_en.htm" TargetMode="External"/><Relationship Id="rId149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hyperlink" Target="http://ec.europa.eu/europeaid/where/acp/country-cooperation/ghana/ghana_en.htm" TargetMode="External"/><Relationship Id="rId95" Type="http://schemas.openxmlformats.org/officeDocument/2006/relationships/hyperlink" Target="http://ec.europa.eu/europeaid/where/acp/country-cooperation/lesotho/lesotho_en.htm" TargetMode="External"/><Relationship Id="rId22" Type="http://schemas.openxmlformats.org/officeDocument/2006/relationships/hyperlink" Target="http://ec.europa.eu/europeaid/where/latin-america/country-cooperation/el-salvador/el-salvador_en.htm" TargetMode="External"/><Relationship Id="rId27" Type="http://schemas.openxmlformats.org/officeDocument/2006/relationships/hyperlink" Target="http://ec.europa.eu/europeaid/where/latin-america/country-cooperation/nicaragua/nicaragua_en.htm" TargetMode="External"/><Relationship Id="rId43" Type="http://schemas.openxmlformats.org/officeDocument/2006/relationships/hyperlink" Target="http://ec.europa.eu/europeaid/where/asia/country-cooperation/maldives/maldives_en.htm" TargetMode="External"/><Relationship Id="rId48" Type="http://schemas.openxmlformats.org/officeDocument/2006/relationships/hyperlink" Target="http://ec.europa.eu/europeaid/where/asia/country-cooperation/sri-lanka/sri-lanka_en.htm" TargetMode="External"/><Relationship Id="rId64" Type="http://schemas.openxmlformats.org/officeDocument/2006/relationships/hyperlink" Target="http://ec.europa.eu/europeaid/where/neighbourhood/country-cooperation/georgia/georgia_en.htm" TargetMode="External"/><Relationship Id="rId69" Type="http://schemas.openxmlformats.org/officeDocument/2006/relationships/hyperlink" Target="http://ec.europa.eu/europeaid/where/neighbourhood/country-cooperation/morocco/morocco_en.htm" TargetMode="External"/><Relationship Id="rId113" Type="http://schemas.openxmlformats.org/officeDocument/2006/relationships/hyperlink" Target="http://ec.europa.eu/europeaid/where/acp/country-cooperation/tanzania/tanzania_en.htm" TargetMode="External"/><Relationship Id="rId118" Type="http://schemas.openxmlformats.org/officeDocument/2006/relationships/hyperlink" Target="http://ec.europa.eu/europeaid/where/acp/country-cooperation/antigua-and-barbuda/antigua-and-barbuda_en.htm" TargetMode="External"/><Relationship Id="rId134" Type="http://schemas.openxmlformats.org/officeDocument/2006/relationships/hyperlink" Target="http://ec.europa.eu/europeaid/where/acp/country-cooperation/cook-islands/cook-islands_en.htm" TargetMode="External"/><Relationship Id="rId139" Type="http://schemas.openxmlformats.org/officeDocument/2006/relationships/hyperlink" Target="http://ec.europa.eu/europeaid/where/acp/country-cooperation/niue/niue_en.htm" TargetMode="External"/><Relationship Id="rId80" Type="http://schemas.openxmlformats.org/officeDocument/2006/relationships/hyperlink" Target="http://ec.europa.eu/europeaid/where/acp/country-cooperation/burundi/burundi_en.htm" TargetMode="External"/><Relationship Id="rId85" Type="http://schemas.openxmlformats.org/officeDocument/2006/relationships/hyperlink" Target="http://ec.europa.eu/europeaid/where/acp/country-cooperation/congo-democratic-republic/congo_en.htm" TargetMode="External"/><Relationship Id="rId15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hyperlink" Target="mailto:contact@socieux.eu" TargetMode="External"/><Relationship Id="rId25" Type="http://schemas.openxmlformats.org/officeDocument/2006/relationships/hyperlink" Target="http://ec.europa.eu/europeaid/where/latin-america/country-cooperation/honduras/honduras_en.htm" TargetMode="External"/><Relationship Id="rId33" Type="http://schemas.openxmlformats.org/officeDocument/2006/relationships/hyperlink" Target="http://ec.europa.eu/europeaid/where/asia/country-cooperation/afghanistan/afghanistan_en.htm" TargetMode="External"/><Relationship Id="rId38" Type="http://schemas.openxmlformats.org/officeDocument/2006/relationships/hyperlink" Target="http://ec.europa.eu/europeaid/where/asia/country-cooperation/philippines/philippines_en.htm" TargetMode="External"/><Relationship Id="rId46" Type="http://schemas.openxmlformats.org/officeDocument/2006/relationships/hyperlink" Target="http://ec.europa.eu/europeaid/where/asia/country-cooperation/nepal/nepal_en.htm" TargetMode="External"/><Relationship Id="rId59" Type="http://schemas.openxmlformats.org/officeDocument/2006/relationships/hyperlink" Target="http://ec.europa.eu/europeaid/where/neighbourhood/country-cooperation/algeria/algeria_en.htm" TargetMode="External"/><Relationship Id="rId67" Type="http://schemas.openxmlformats.org/officeDocument/2006/relationships/hyperlink" Target="http://ec.europa.eu/europeaid/where/neighbourhood/country-cooperation/lebanon/lebanon_en.htm" TargetMode="External"/><Relationship Id="rId103" Type="http://schemas.openxmlformats.org/officeDocument/2006/relationships/hyperlink" Target="http://ec.europa.eu/europeaid/where/acp/country-cooperation/kenya/kenya_en.htm" TargetMode="External"/><Relationship Id="rId108" Type="http://schemas.openxmlformats.org/officeDocument/2006/relationships/hyperlink" Target="http://ec.europa.eu/europeaid/where/acp/country-cooperation/senegal/senegal_en.htm" TargetMode="External"/><Relationship Id="rId116" Type="http://schemas.openxmlformats.org/officeDocument/2006/relationships/hyperlink" Target="http://ec.europa.eu/europeaid/where/acp/country-cooperation/zambia/zambia_en.htm" TargetMode="External"/><Relationship Id="rId124" Type="http://schemas.openxmlformats.org/officeDocument/2006/relationships/hyperlink" Target="http://ec.europa.eu/europeaid/where/acp/country-cooperation/guyana/guyana_en.htm" TargetMode="External"/><Relationship Id="rId129" Type="http://schemas.openxmlformats.org/officeDocument/2006/relationships/hyperlink" Target="http://ec.europa.eu/europeaid/where/acp/country-cooperation/saint-kitts-and-nevis/saint-kitts-and-nevis_en.htm" TargetMode="External"/><Relationship Id="rId137" Type="http://schemas.openxmlformats.org/officeDocument/2006/relationships/hyperlink" Target="http://ec.europa.eu/europeaid/where/acp/country-cooperation/micronesia/micronesia_en.htm" TargetMode="External"/><Relationship Id="rId20" Type="http://schemas.openxmlformats.org/officeDocument/2006/relationships/hyperlink" Target="http://ec.europa.eu/europeaid/where/latin-america/country-cooperation/colombia/colombia_en.htm" TargetMode="External"/><Relationship Id="rId41" Type="http://schemas.openxmlformats.org/officeDocument/2006/relationships/hyperlink" Target="http://ec.europa.eu/europeaid/where/asia/country-cooperation/laos/laos_en.htm" TargetMode="External"/><Relationship Id="rId54" Type="http://schemas.openxmlformats.org/officeDocument/2006/relationships/hyperlink" Target="http://ec.europa.eu/europeaid/where/asia/country-cooperation/turkmenistan/turkmenistan_en.htm" TargetMode="External"/><Relationship Id="rId62" Type="http://schemas.openxmlformats.org/officeDocument/2006/relationships/hyperlink" Target="http://ec.europa.eu/europeaid/where/neighbourhood/country-cooperation/belarus/belarus_en.htm" TargetMode="External"/><Relationship Id="rId70" Type="http://schemas.openxmlformats.org/officeDocument/2006/relationships/hyperlink" Target="http://ec.europa.eu/europeaid/where/neighbourhood/country-cooperation/moldova/moldova_en.htm" TargetMode="External"/><Relationship Id="rId75" Type="http://schemas.openxmlformats.org/officeDocument/2006/relationships/hyperlink" Target="http://ec.europa.eu/europeaid/where/acp/country-cooperation/south-africa/south-africa_en.htm" TargetMode="External"/><Relationship Id="rId83" Type="http://schemas.openxmlformats.org/officeDocument/2006/relationships/hyperlink" Target="http://ec.europa.eu/europeaid/where/acp/country-cooperation/chad/chad_en.htm" TargetMode="External"/><Relationship Id="rId88" Type="http://schemas.openxmlformats.org/officeDocument/2006/relationships/hyperlink" Target="http://ec.europa.eu/europeaid/where/acp/country-cooperation/eritrea/eritrea_en.htm" TargetMode="External"/><Relationship Id="rId91" Type="http://schemas.openxmlformats.org/officeDocument/2006/relationships/hyperlink" Target="http://ec.europa.eu/europeaid/where/acp/country-cooperation/guinea/guinea_en.htm" TargetMode="External"/><Relationship Id="rId96" Type="http://schemas.openxmlformats.org/officeDocument/2006/relationships/hyperlink" Target="http://ec.europa.eu/europeaid/where/acp/country-cooperation/liberia/liberia_en.htm" TargetMode="External"/><Relationship Id="rId111" Type="http://schemas.openxmlformats.org/officeDocument/2006/relationships/hyperlink" Target="http://ec.europa.eu/europeaid/where/acp/country-cooperation/sudan/sudan_en.htm" TargetMode="External"/><Relationship Id="rId132" Type="http://schemas.openxmlformats.org/officeDocument/2006/relationships/hyperlink" Target="http://ec.europa.eu/europeaid/where/acp/country-cooperation/trinidad-and-tobago/trinidad-and-tobago_en.htm" TargetMode="External"/><Relationship Id="rId140" Type="http://schemas.openxmlformats.org/officeDocument/2006/relationships/hyperlink" Target="http://ec.europa.eu/europeaid/where/acp/country-cooperation/palau/palau_en.htm" TargetMode="External"/><Relationship Id="rId145" Type="http://schemas.openxmlformats.org/officeDocument/2006/relationships/hyperlink" Target="http://ec.europa.eu/europeaid/where/acp/country-cooperation/tonga/tonga_en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hyperlink" Target="http://ec.europa.eu/europeaid/where/latin-america/country-cooperation/ecuador/ecuador_en.htm" TargetMode="External"/><Relationship Id="rId28" Type="http://schemas.openxmlformats.org/officeDocument/2006/relationships/hyperlink" Target="http://ec.europa.eu/europeaid/where/latin-america/country-cooperation/panama/panama_en.htm" TargetMode="External"/><Relationship Id="rId36" Type="http://schemas.openxmlformats.org/officeDocument/2006/relationships/hyperlink" Target="http://ec.europa.eu/europeaid/where/asia/country-cooperation/cambodia/cambodia_en.htm" TargetMode="External"/><Relationship Id="rId49" Type="http://schemas.openxmlformats.org/officeDocument/2006/relationships/hyperlink" Target="http://ec.europa.eu/europeaid/where/asia/country-cooperation/thailand/thailand_en.htm" TargetMode="External"/><Relationship Id="rId57" Type="http://schemas.openxmlformats.org/officeDocument/2006/relationships/hyperlink" Target="http://ec.europa.eu/europeaid/where/gulf-region/country-cooperation/iran/iran_en.htm" TargetMode="External"/><Relationship Id="rId106" Type="http://schemas.openxmlformats.org/officeDocument/2006/relationships/hyperlink" Target="http://ec.europa.eu/europeaid/where/acp/country-cooperation/sao-tome-and-principe/sao-tome-and-principe_en.htm" TargetMode="External"/><Relationship Id="rId114" Type="http://schemas.openxmlformats.org/officeDocument/2006/relationships/hyperlink" Target="http://ec.europa.eu/europeaid/where/acp/country-cooperation/togo/togo_en.htm" TargetMode="External"/><Relationship Id="rId119" Type="http://schemas.openxmlformats.org/officeDocument/2006/relationships/hyperlink" Target="http://ec.europa.eu/europeaid/where/acp/country-cooperation/bahamas/bahamas_en.htm" TargetMode="External"/><Relationship Id="rId127" Type="http://schemas.openxmlformats.org/officeDocument/2006/relationships/hyperlink" Target="http://ec.europa.eu/europeaid/where/acp/country-cooperation/dominican-republic/dominican-republic_en.ht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ec.europa.eu/europeaid/where/latin-america/country-cooperation/uruguay/uruguay_en.htm" TargetMode="External"/><Relationship Id="rId44" Type="http://schemas.openxmlformats.org/officeDocument/2006/relationships/hyperlink" Target="http://ec.europa.eu/europeaid/where/asia/country-cooperation/myanmar/myanmar_en.htm" TargetMode="External"/><Relationship Id="rId52" Type="http://schemas.openxmlformats.org/officeDocument/2006/relationships/hyperlink" Target="http://ec.europa.eu/europeaid/where/asia/country-cooperation/kyrgyzstan/kyrgyzstan_en.htm" TargetMode="External"/><Relationship Id="rId60" Type="http://schemas.openxmlformats.org/officeDocument/2006/relationships/hyperlink" Target="http://ec.europa.eu/europeaid/where/neighbourhood/country-cooperation/armenia/armenia_en.htm" TargetMode="External"/><Relationship Id="rId65" Type="http://schemas.openxmlformats.org/officeDocument/2006/relationships/hyperlink" Target="http://ec.europa.eu/europeaid/where/neighbourhood/country-cooperation/israel/israel_en.htm" TargetMode="External"/><Relationship Id="rId73" Type="http://schemas.openxmlformats.org/officeDocument/2006/relationships/hyperlink" Target="http://ec.europa.eu/europeaid/where/neighbourhood/country-cooperation/tunisia/tunisia_en.htm" TargetMode="External"/><Relationship Id="rId78" Type="http://schemas.openxmlformats.org/officeDocument/2006/relationships/hyperlink" Target="http://ec.europa.eu/europeaid/where/acp/country-cooperation/botswana/botswana_en.htm" TargetMode="External"/><Relationship Id="rId81" Type="http://schemas.openxmlformats.org/officeDocument/2006/relationships/hyperlink" Target="http://ec.europa.eu/europeaid/where/acp/country-cooperation/cape-verde/cape-verde_en.htm" TargetMode="External"/><Relationship Id="rId86" Type="http://schemas.openxmlformats.org/officeDocument/2006/relationships/hyperlink" Target="http://ec.europa.eu/europeaid/where/acp/country-cooperation/congo/congo_en.htm" TargetMode="External"/><Relationship Id="rId94" Type="http://schemas.openxmlformats.org/officeDocument/2006/relationships/hyperlink" Target="http://ec.europa.eu/europeaid/where/acp/country-cooperation/djibouti/djibouti_en.htm" TargetMode="External"/><Relationship Id="rId99" Type="http://schemas.openxmlformats.org/officeDocument/2006/relationships/hyperlink" Target="http://ec.europa.eu/europeaid/where/acp/country-cooperation/mozambique/mozambique_en.htm" TargetMode="External"/><Relationship Id="rId101" Type="http://schemas.openxmlformats.org/officeDocument/2006/relationships/hyperlink" Target="http://ec.europa.eu/europeaid/where/acp/country-cooperation/niger/niger_en.htm" TargetMode="External"/><Relationship Id="rId122" Type="http://schemas.openxmlformats.org/officeDocument/2006/relationships/hyperlink" Target="http://ec.europa.eu/europeaid/where/acp/country-cooperation/dominica/dominica_en.htm" TargetMode="External"/><Relationship Id="rId130" Type="http://schemas.openxmlformats.org/officeDocument/2006/relationships/hyperlink" Target="http://ec.europa.eu/europeaid/where/acp/country-cooperation/st-vincent-and-the-grenadines/saint-vincent-and-the-grenadines_en.htm" TargetMode="External"/><Relationship Id="rId135" Type="http://schemas.openxmlformats.org/officeDocument/2006/relationships/hyperlink" Target="http://ec.europa.eu/europeaid/where/acp/country-cooperation/marshall-islands/marshall-islands_en.htm" TargetMode="External"/><Relationship Id="rId143" Type="http://schemas.openxmlformats.org/officeDocument/2006/relationships/hyperlink" Target="http://ec.europa.eu/europeaid/where/acp/country-cooperation/samoa/samoa_en.htm" TargetMode="External"/><Relationship Id="rId148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requests@socieux.eu" TargetMode="External"/><Relationship Id="rId39" Type="http://schemas.openxmlformats.org/officeDocument/2006/relationships/hyperlink" Target="http://ec.europa.eu/europeaid/where/asia/country-cooperation/india/india_en.htm" TargetMode="External"/><Relationship Id="rId109" Type="http://schemas.openxmlformats.org/officeDocument/2006/relationships/hyperlink" Target="http://ec.europa.eu/europeaid/where/acp/country-cooperation/sierra-leone/sierraleone_en.htm" TargetMode="External"/><Relationship Id="rId34" Type="http://schemas.openxmlformats.org/officeDocument/2006/relationships/hyperlink" Target="http://ec.europa.eu/europeaid/where/asia/country-cooperation/bangladesh/bangladesh_en.htm" TargetMode="External"/><Relationship Id="rId50" Type="http://schemas.openxmlformats.org/officeDocument/2006/relationships/hyperlink" Target="http://ec.europa.eu/europeaid/where/asia/country-cooperation/vietnam/vietnam_en.htm" TargetMode="External"/><Relationship Id="rId55" Type="http://schemas.openxmlformats.org/officeDocument/2006/relationships/hyperlink" Target="http://ec.europa.eu/europeaid/where/asia/country-cooperation/uzbekistan/uzbekistan_en.htm" TargetMode="External"/><Relationship Id="rId76" Type="http://schemas.openxmlformats.org/officeDocument/2006/relationships/hyperlink" Target="http://ec.europa.eu/europeaid/where/acp/country-cooperation/angola/angola_en.htm" TargetMode="External"/><Relationship Id="rId97" Type="http://schemas.openxmlformats.org/officeDocument/2006/relationships/hyperlink" Target="http://ec.europa.eu/europeaid/where/acp/country-cooperation/madagascar/madagascar_en.htm" TargetMode="External"/><Relationship Id="rId104" Type="http://schemas.openxmlformats.org/officeDocument/2006/relationships/hyperlink" Target="http://ec.europa.eu/europeaid/where/acp/country-cooperation/central-african-republic/central-african-republic_en.htm" TargetMode="External"/><Relationship Id="rId120" Type="http://schemas.openxmlformats.org/officeDocument/2006/relationships/hyperlink" Target="http://ec.europa.eu/europeaid/where/acp/country-cooperation/barbados/barbados_en.htm" TargetMode="External"/><Relationship Id="rId125" Type="http://schemas.openxmlformats.org/officeDocument/2006/relationships/hyperlink" Target="http://ec.europa.eu/europeaid/where/acp/country-cooperation/haiti/haiti_en.htm" TargetMode="External"/><Relationship Id="rId141" Type="http://schemas.openxmlformats.org/officeDocument/2006/relationships/hyperlink" Target="http://ec.europa.eu/europeaid/where/acp/country-cooperation/papua-new-guinea/papua-new-guinea_en.htm" TargetMode="External"/><Relationship Id="rId146" Type="http://schemas.openxmlformats.org/officeDocument/2006/relationships/hyperlink" Target="http://ec.europa.eu/europeaid/where/acp/country-cooperation/tuvalu/tuvalu_en.htm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ec.europa.eu/europeaid/where/neighbourhood/country-cooperation/palestine/palestine_en.htm" TargetMode="External"/><Relationship Id="rId92" Type="http://schemas.openxmlformats.org/officeDocument/2006/relationships/hyperlink" Target="http://ec.europa.eu/europeaid/where/acp/country-cooperation/equatorial-guinea/equatorial-guinea_en.ht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ec.europa.eu/europeaid/where/latin-america/country-cooperation/paraguay/paraguay_en.htm" TargetMode="External"/><Relationship Id="rId24" Type="http://schemas.openxmlformats.org/officeDocument/2006/relationships/hyperlink" Target="http://ec.europa.eu/europeaid/where/latin-america/country-cooperation/guatemala/guatemala_en.htm" TargetMode="External"/><Relationship Id="rId40" Type="http://schemas.openxmlformats.org/officeDocument/2006/relationships/hyperlink" Target="http://ec.europa.eu/europeaid/where/asia/country-cooperation/indonesia/indonesia_en.htm" TargetMode="External"/><Relationship Id="rId45" Type="http://schemas.openxmlformats.org/officeDocument/2006/relationships/hyperlink" Target="http://ec.europa.eu/europeaid/where/asia/country-cooperation/mongolia/mongolia_en.htm" TargetMode="External"/><Relationship Id="rId66" Type="http://schemas.openxmlformats.org/officeDocument/2006/relationships/hyperlink" Target="http://ec.europa.eu/europeaid/where/neighbourhood/country-cooperation/jordan/jordan_en.htm" TargetMode="External"/><Relationship Id="rId87" Type="http://schemas.openxmlformats.org/officeDocument/2006/relationships/hyperlink" Target="http://ec.europa.eu/europeaid/where/acp/country-cooperation/cote-d-ivoire/cote-d-ivoire_en.htm" TargetMode="External"/><Relationship Id="rId110" Type="http://schemas.openxmlformats.org/officeDocument/2006/relationships/hyperlink" Target="http://ec.europa.eu/europeaid/where/acp/country-cooperation/swaziland/swaziland_en.htm" TargetMode="External"/><Relationship Id="rId115" Type="http://schemas.openxmlformats.org/officeDocument/2006/relationships/hyperlink" Target="http://ec.europa.eu/europeaid/where/acp/country-cooperation/uganda/uganda_en.htm" TargetMode="External"/><Relationship Id="rId131" Type="http://schemas.openxmlformats.org/officeDocument/2006/relationships/hyperlink" Target="http://ec.europa.eu/europeaid/where/acp/country-cooperation/suriname/suriname_en.htm" TargetMode="External"/><Relationship Id="rId136" Type="http://schemas.openxmlformats.org/officeDocument/2006/relationships/hyperlink" Target="http://ec.europa.eu/europeaid/where/acp/country-cooperation/solomon-islands/solomon-islands_en.htm" TargetMode="External"/><Relationship Id="rId61" Type="http://schemas.openxmlformats.org/officeDocument/2006/relationships/hyperlink" Target="http://ec.europa.eu/europeaid/where/neighbourhood/country-cooperation/azerbaijan/azerbaijan_en.htm" TargetMode="External"/><Relationship Id="rId82" Type="http://schemas.openxmlformats.org/officeDocument/2006/relationships/hyperlink" Target="http://ec.europa.eu/europeaid/where/acp/country-cooperation/cameroon/cameroon_en.htm" TargetMode="External"/><Relationship Id="rId19" Type="http://schemas.openxmlformats.org/officeDocument/2006/relationships/hyperlink" Target="http://ec.europa.eu/europeaid/where/latin-america/country-cooperation/chile/chile_en.htm" TargetMode="External"/><Relationship Id="rId14" Type="http://schemas.openxmlformats.org/officeDocument/2006/relationships/footer" Target="footer1.xml"/><Relationship Id="rId30" Type="http://schemas.openxmlformats.org/officeDocument/2006/relationships/hyperlink" Target="http://ec.europa.eu/europeaid/where/latin-america/country-cooperation/peru/peru_en.htm" TargetMode="External"/><Relationship Id="rId35" Type="http://schemas.openxmlformats.org/officeDocument/2006/relationships/hyperlink" Target="http://ec.europa.eu/europeaid/where/asia/country-cooperation/bhutan/bhutan_en.htm" TargetMode="External"/><Relationship Id="rId56" Type="http://schemas.openxmlformats.org/officeDocument/2006/relationships/hyperlink" Target="http://ec.europa.eu/europeaid/where/gulf-region/country-cooperation/yemen/yemen_en.htm" TargetMode="External"/><Relationship Id="rId77" Type="http://schemas.openxmlformats.org/officeDocument/2006/relationships/hyperlink" Target="http://ec.europa.eu/europeaid/where/acp/country-cooperation/benin/benin_en.htm" TargetMode="External"/><Relationship Id="rId100" Type="http://schemas.openxmlformats.org/officeDocument/2006/relationships/hyperlink" Target="http://ec.europa.eu/europeaid/where/acp/country-cooperation/namibia/namibia_en.htm" TargetMode="External"/><Relationship Id="rId105" Type="http://schemas.openxmlformats.org/officeDocument/2006/relationships/hyperlink" Target="http://ec.europa.eu/europeaid/where/acp/country-cooperation/rwanda/rwanda_en.htm" TargetMode="External"/><Relationship Id="rId126" Type="http://schemas.openxmlformats.org/officeDocument/2006/relationships/hyperlink" Target="http://ec.europa.eu/europeaid/where/acp/country-cooperation/jamaica/jamaica_en.htm" TargetMode="External"/><Relationship Id="rId147" Type="http://schemas.openxmlformats.org/officeDocument/2006/relationships/hyperlink" Target="http://ec.europa.eu/europeaid/where/acp/country-cooperation/vanuatu/vanuatu_en.ht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ec.europa.eu/europeaid/where/asia/country-cooperation/kazakhstan/kazakhstan_en.htm" TargetMode="External"/><Relationship Id="rId72" Type="http://schemas.openxmlformats.org/officeDocument/2006/relationships/hyperlink" Target="http://ec.europa.eu/europeaid/where/neighbourhood/country-cooperation/syria/syria_en.htm" TargetMode="External"/><Relationship Id="rId93" Type="http://schemas.openxmlformats.org/officeDocument/2006/relationships/hyperlink" Target="http://ec.europa.eu/europeaid/where/acp/country-cooperation/guinea-bissau/guinea-bissau_en.htm" TargetMode="External"/><Relationship Id="rId98" Type="http://schemas.openxmlformats.org/officeDocument/2006/relationships/hyperlink" Target="http://ec.europa.eu/europeaid/where/acp/country-cooperation/mauritius/mauritius_en.htm" TargetMode="External"/><Relationship Id="rId121" Type="http://schemas.openxmlformats.org/officeDocument/2006/relationships/hyperlink" Target="http://ec.europa.eu/europeaid/where/acp/country-cooperation/belize/belize_en.htm" TargetMode="External"/><Relationship Id="rId142" Type="http://schemas.openxmlformats.org/officeDocument/2006/relationships/hyperlink" Target="http://ec.europa.eu/europeaid/where/acp/country-cooperation/kiribati/kiribati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facility3\Documents\SOCIEUX\Communication%20&amp;%20Visibility\Approved%20materials\270008_briefpapier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9600F9A71CB4A8035A1561649DAB9" ma:contentTypeVersion="7" ma:contentTypeDescription="Create a new document." ma:contentTypeScope="" ma:versionID="de4981515c23537053b3cffa0f9da5e1">
  <xsd:schema xmlns:xsd="http://www.w3.org/2001/XMLSchema" xmlns:xs="http://www.w3.org/2001/XMLSchema" xmlns:p="http://schemas.microsoft.com/office/2006/metadata/properties" xmlns:ns2="a7afb4a6-0778-4c5c-bba4-6140bcadfe7d" xmlns:ns3="26528c1c-c2ac-46fa-a0a1-8b6efa746e8f" targetNamespace="http://schemas.microsoft.com/office/2006/metadata/properties" ma:root="true" ma:fieldsID="84d0ff660c198701ea280484f9ec1e8f" ns2:_="" ns3:_="">
    <xsd:import namespace="a7afb4a6-0778-4c5c-bba4-6140bcadfe7d"/>
    <xsd:import namespace="26528c1c-c2ac-46fa-a0a1-8b6efa746e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b4a6-0778-4c5c-bba4-6140bcad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8c1c-c2ac-46fa-a0a1-8b6efa746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1790-6892-4757-B27A-35B67A772132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7afb4a6-0778-4c5c-bba4-6140bcadfe7d"/>
    <ds:schemaRef ds:uri="http://purl.org/dc/terms/"/>
    <ds:schemaRef ds:uri="26528c1c-c2ac-46fa-a0a1-8b6efa746e8f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EAE681-0F7F-4F5A-8AE3-38C5F1D04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b4a6-0778-4c5c-bba4-6140bcadfe7d"/>
    <ds:schemaRef ds:uri="26528c1c-c2ac-46fa-a0a1-8b6efa746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A61A8-20F1-4EC0-B79B-24CD9B6B3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49281-DAD1-44DD-A33E-152E1B8F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270008_briefpapier_ENG</Template>
  <TotalTime>0</TotalTime>
  <Pages>10</Pages>
  <Words>3228</Words>
  <Characters>34322</Characters>
  <Application>Microsoft Office Word</Application>
  <DocSecurity>4</DocSecurity>
  <Lines>286</Lines>
  <Paragraphs>74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Crossmark bvba</Company>
  <LinksUpToDate>false</LinksUpToDate>
  <CharactersWithSpaces>37476</CharactersWithSpaces>
  <SharedDoc>false</SharedDoc>
  <HLinks>
    <vt:vector size="24" baseType="variant">
      <vt:variant>
        <vt:i4>7143463</vt:i4>
      </vt:variant>
      <vt:variant>
        <vt:i4>-1</vt:i4>
      </vt:variant>
      <vt:variant>
        <vt:i4>1034</vt:i4>
      </vt:variant>
      <vt:variant>
        <vt:i4>1</vt:i4>
      </vt:variant>
      <vt:variant>
        <vt:lpwstr>270008_briefpapier_inhoud_ENG</vt:lpwstr>
      </vt:variant>
      <vt:variant>
        <vt:lpwstr/>
      </vt:variant>
      <vt:variant>
        <vt:i4>3276809</vt:i4>
      </vt:variant>
      <vt:variant>
        <vt:i4>-1</vt:i4>
      </vt:variant>
      <vt:variant>
        <vt:i4>1035</vt:i4>
      </vt:variant>
      <vt:variant>
        <vt:i4>1</vt:i4>
      </vt:variant>
      <vt:variant>
        <vt:lpwstr>270008_briefpapier_contact_ENG</vt:lpwstr>
      </vt:variant>
      <vt:variant>
        <vt:lpwstr/>
      </vt:variant>
      <vt:variant>
        <vt:i4>65580</vt:i4>
      </vt:variant>
      <vt:variant>
        <vt:i4>-1</vt:i4>
      </vt:variant>
      <vt:variant>
        <vt:i4>1036</vt:i4>
      </vt:variant>
      <vt:variant>
        <vt:i4>1</vt:i4>
      </vt:variant>
      <vt:variant>
        <vt:lpwstr>270008_briefpapier_inhoud_LEEG</vt:lpwstr>
      </vt:variant>
      <vt:variant>
        <vt:lpwstr/>
      </vt:variant>
      <vt:variant>
        <vt:i4>4587645</vt:i4>
      </vt:variant>
      <vt:variant>
        <vt:i4>-1</vt:i4>
      </vt:variant>
      <vt:variant>
        <vt:i4>1037</vt:i4>
      </vt:variant>
      <vt:variant>
        <vt:i4>1</vt:i4>
      </vt:variant>
      <vt:variant>
        <vt:lpwstr>270008_briefpapier_titel_ENG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spfacility3</dc:creator>
  <cp:keywords/>
  <dc:description/>
  <cp:lastModifiedBy>Rodriguez Begona</cp:lastModifiedBy>
  <cp:revision>2</cp:revision>
  <dcterms:created xsi:type="dcterms:W3CDTF">2018-01-17T11:28:00Z</dcterms:created>
  <dcterms:modified xsi:type="dcterms:W3CDTF">2018-01-17T11:28:00Z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http://www.zotero.org/styles/health-policy-and-planning</vt:lpwstr>
  </property>
  <property fmtid="{D5CDD505-2E9C-101B-9397-08002B2CF9AE}" pid="15" name="Mendeley Recent Style Name 6_1">
    <vt:lpwstr>Health Policy and Planning</vt:lpwstr>
  </property>
  <property fmtid="{D5CDD505-2E9C-101B-9397-08002B2CF9AE}" pid="16" name="Mendeley Recent Style Id 7_1">
    <vt:lpwstr>http://csl.mendeley.com/styles/424216311/health-policy-and-planning</vt:lpwstr>
  </property>
  <property fmtid="{D5CDD505-2E9C-101B-9397-08002B2CF9AE}" pid="17" name="Mendeley Recent Style Name 7_1">
    <vt:lpwstr>Health Policy and Planning - Adelio Fernandes Antunes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ContentTypeId">
    <vt:lpwstr>0x010100AC19600F9A71CB4A8035A1561649DAB9</vt:lpwstr>
  </property>
</Properties>
</file>