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4DA5C6BC" w:rsidR="000C1E5F" w:rsidRPr="001D563A" w:rsidRDefault="00813F2D" w:rsidP="00186175">
      <w:pPr>
        <w:jc w:val="center"/>
        <w:rPr>
          <w:i/>
          <w:color w:val="0070C0"/>
          <w:lang w:val="en-US"/>
        </w:rPr>
      </w:pPr>
      <w:r w:rsidRPr="001D563A">
        <w:rPr>
          <w:lang w:val="en-US"/>
        </w:rPr>
        <w:t>Publication Reference</w:t>
      </w:r>
      <w:r w:rsidR="003A55B0" w:rsidRPr="001D563A">
        <w:rPr>
          <w:lang w:val="en-US"/>
        </w:rPr>
        <w:t xml:space="preserve">: </w:t>
      </w:r>
      <w:r w:rsidR="00721618" w:rsidRPr="001D563A">
        <w:rPr>
          <w:i/>
          <w:color w:val="0070C0"/>
          <w:lang w:val="en-US"/>
        </w:rPr>
        <w:t>15-21</w:t>
      </w:r>
      <w:r w:rsidR="006D67A9" w:rsidRPr="001D563A">
        <w:rPr>
          <w:i/>
          <w:color w:val="0070C0"/>
          <w:lang w:val="en-US"/>
        </w:rPr>
        <w:t>/</w:t>
      </w:r>
      <w:r w:rsidR="0075712C" w:rsidRPr="001D563A">
        <w:rPr>
          <w:i/>
          <w:color w:val="0070C0"/>
          <w:lang w:val="en-US"/>
        </w:rPr>
        <w:t>GAB</w:t>
      </w:r>
      <w:r w:rsidR="00721618" w:rsidRPr="001D563A">
        <w:rPr>
          <w:i/>
          <w:color w:val="0070C0"/>
          <w:szCs w:val="18"/>
          <w:lang w:val="en-US"/>
        </w:rPr>
        <w:t>/03</w:t>
      </w:r>
      <w:r w:rsidR="000B4A74" w:rsidRPr="001D563A">
        <w:rPr>
          <w:i/>
          <w:color w:val="0070C0"/>
          <w:szCs w:val="18"/>
          <w:lang w:val="en-US"/>
        </w:rPr>
        <w:t>.04</w:t>
      </w:r>
      <w:r w:rsidR="00FC4729" w:rsidRPr="001D563A">
        <w:rPr>
          <w:i/>
          <w:color w:val="0070C0"/>
          <w:szCs w:val="18"/>
          <w:lang w:val="en-US"/>
        </w:rPr>
        <w:t>/</w:t>
      </w:r>
      <w:r w:rsidR="001D563A">
        <w:rPr>
          <w:i/>
          <w:color w:val="0070C0"/>
          <w:lang w:val="en-US"/>
        </w:rPr>
        <w:t>2</w:t>
      </w:r>
    </w:p>
    <w:p w14:paraId="4784F53F" w14:textId="77777777" w:rsidR="004C20CE" w:rsidRPr="008247C2" w:rsidRDefault="004C20CE" w:rsidP="00186175">
      <w:pPr>
        <w:jc w:val="center"/>
        <w:rPr>
          <w:i/>
          <w:color w:val="0070C0"/>
        </w:rPr>
      </w:pPr>
    </w:p>
    <w:tbl>
      <w:tblPr>
        <w:tblStyle w:val="Grilledutableau"/>
        <w:tblW w:w="8821" w:type="dxa"/>
        <w:tblLook w:val="04A0" w:firstRow="1" w:lastRow="0" w:firstColumn="1" w:lastColumn="0" w:noHBand="0" w:noVBand="1"/>
      </w:tblPr>
      <w:tblGrid>
        <w:gridCol w:w="8821"/>
      </w:tblGrid>
      <w:tr w:rsidR="00C5469B" w:rsidRPr="008247C2" w14:paraId="332D2C03" w14:textId="77777777" w:rsidTr="004226A2">
        <w:trPr>
          <w:trHeight w:val="7276"/>
        </w:trPr>
        <w:tc>
          <w:tcPr>
            <w:tcW w:w="8821" w:type="dxa"/>
          </w:tcPr>
          <w:p w14:paraId="35B48DD6" w14:textId="77777777" w:rsidR="00701736" w:rsidRPr="008247C2" w:rsidRDefault="00701736" w:rsidP="0083551A">
            <w:pPr>
              <w:pStyle w:val="Default"/>
              <w:jc w:val="both"/>
              <w:rPr>
                <w:b/>
                <w:sz w:val="20"/>
                <w:szCs w:val="20"/>
              </w:rPr>
            </w:pPr>
          </w:p>
          <w:p w14:paraId="71C1E9BF" w14:textId="214470BD" w:rsidR="004C550F" w:rsidRPr="008247C2" w:rsidRDefault="00A55E9E" w:rsidP="0005116A">
            <w:pPr>
              <w:jc w:val="both"/>
              <w:rPr>
                <w:i/>
                <w:color w:val="0070C0"/>
                <w:sz w:val="28"/>
                <w:szCs w:val="28"/>
              </w:rPr>
            </w:pPr>
            <w:r w:rsidRPr="008247C2">
              <w:rPr>
                <w:b/>
                <w:sz w:val="28"/>
                <w:szCs w:val="28"/>
              </w:rPr>
              <w:t>Titre de l’action</w:t>
            </w:r>
            <w:r w:rsidR="00C5469B" w:rsidRPr="008247C2">
              <w:rPr>
                <w:b/>
                <w:sz w:val="28"/>
                <w:szCs w:val="28"/>
              </w:rPr>
              <w:t xml:space="preserve"> :</w:t>
            </w:r>
            <w:r w:rsidR="00C5469B" w:rsidRPr="008247C2">
              <w:rPr>
                <w:i/>
                <w:sz w:val="28"/>
                <w:szCs w:val="28"/>
              </w:rPr>
              <w:t xml:space="preserve"> </w:t>
            </w:r>
            <w:r w:rsidR="00886495" w:rsidRPr="00886495">
              <w:rPr>
                <w:rStyle w:val="Textedelespacerserv"/>
                <w:color w:val="auto"/>
                <w:sz w:val="28"/>
                <w:szCs w:val="28"/>
              </w:rPr>
              <w:t>Assistance au cadre de gestion des dossiers de financement des Activités Génératrices de Revenus (AGR)</w:t>
            </w:r>
          </w:p>
          <w:p w14:paraId="431B9DD3" w14:textId="77777777" w:rsidR="006D67A9" w:rsidRPr="008247C2" w:rsidRDefault="006D67A9" w:rsidP="0005116A">
            <w:pPr>
              <w:jc w:val="both"/>
            </w:pPr>
          </w:p>
          <w:p w14:paraId="509BCFA7" w14:textId="53421C82" w:rsidR="00510DF7" w:rsidRPr="00E1075B" w:rsidRDefault="00A55E9E" w:rsidP="0005116A">
            <w:pPr>
              <w:spacing w:after="360"/>
              <w:jc w:val="both"/>
              <w:rPr>
                <w:b/>
                <w:color w:val="0070C0"/>
                <w:sz w:val="22"/>
                <w:szCs w:val="22"/>
              </w:rPr>
            </w:pPr>
            <w:r w:rsidRPr="0005116A">
              <w:rPr>
                <w:b/>
                <w:sz w:val="22"/>
                <w:szCs w:val="22"/>
              </w:rPr>
              <w:t>Code de l’action et pays partenaire</w:t>
            </w:r>
            <w:r w:rsidR="005D0B8F">
              <w:rPr>
                <w:sz w:val="22"/>
                <w:szCs w:val="22"/>
              </w:rPr>
              <w:t xml:space="preserve"> :</w:t>
            </w:r>
            <w:r w:rsidR="00886495">
              <w:rPr>
                <w:color w:val="0070C0"/>
                <w:sz w:val="22"/>
                <w:szCs w:val="22"/>
              </w:rPr>
              <w:t xml:space="preserve"> 2015-21</w:t>
            </w:r>
            <w:r w:rsidR="00D91EA0" w:rsidRPr="00E1075B">
              <w:rPr>
                <w:color w:val="0070C0"/>
                <w:sz w:val="22"/>
                <w:szCs w:val="22"/>
              </w:rPr>
              <w:t xml:space="preserve"> </w:t>
            </w:r>
            <w:r w:rsidR="000B4A74">
              <w:rPr>
                <w:color w:val="0070C0"/>
                <w:sz w:val="22"/>
                <w:szCs w:val="22"/>
              </w:rPr>
              <w:t>Gabon</w:t>
            </w:r>
          </w:p>
          <w:p w14:paraId="751F1AAA" w14:textId="454EF4CD" w:rsidR="005B3C6C" w:rsidRPr="00C33A7C" w:rsidRDefault="00A55E9E" w:rsidP="0005116A">
            <w:pPr>
              <w:spacing w:after="480"/>
              <w:jc w:val="both"/>
              <w:rPr>
                <w:rFonts w:cs="Arial"/>
                <w:sz w:val="22"/>
                <w:szCs w:val="22"/>
              </w:rPr>
            </w:pPr>
            <w:r w:rsidRPr="00C33A7C">
              <w:rPr>
                <w:b/>
                <w:sz w:val="22"/>
                <w:szCs w:val="22"/>
              </w:rPr>
              <w:t>Institution partenaire</w:t>
            </w:r>
            <w:r w:rsidR="00C5469B" w:rsidRPr="00C33A7C">
              <w:rPr>
                <w:sz w:val="22"/>
                <w:szCs w:val="22"/>
              </w:rPr>
              <w:t xml:space="preserve">: </w:t>
            </w:r>
            <w:r w:rsidR="00886495" w:rsidRPr="00C33A7C">
              <w:rPr>
                <w:rFonts w:cs="Arial"/>
                <w:sz w:val="22"/>
                <w:szCs w:val="22"/>
              </w:rPr>
              <w:t>Fonds national d’action sociale (FNAS)</w:t>
            </w:r>
          </w:p>
          <w:p w14:paraId="13CE4179" w14:textId="25EB50CD" w:rsidR="00886495" w:rsidRPr="00C33A7C" w:rsidRDefault="00A55E9E" w:rsidP="00886495">
            <w:pPr>
              <w:jc w:val="both"/>
              <w:rPr>
                <w:sz w:val="22"/>
                <w:szCs w:val="22"/>
              </w:rPr>
            </w:pPr>
            <w:r w:rsidRPr="00C33A7C">
              <w:rPr>
                <w:b/>
                <w:sz w:val="22"/>
                <w:szCs w:val="22"/>
              </w:rPr>
              <w:t>Activité</w:t>
            </w:r>
            <w:r w:rsidR="00FF7E18" w:rsidRPr="00C33A7C">
              <w:rPr>
                <w:b/>
                <w:sz w:val="22"/>
                <w:szCs w:val="22"/>
              </w:rPr>
              <w:t xml:space="preserve"> </w:t>
            </w:r>
            <w:r w:rsidR="00886495" w:rsidRPr="00C33A7C">
              <w:rPr>
                <w:b/>
                <w:sz w:val="22"/>
                <w:szCs w:val="22"/>
              </w:rPr>
              <w:t>3</w:t>
            </w:r>
            <w:r w:rsidR="008A10D5" w:rsidRPr="00C33A7C">
              <w:rPr>
                <w:sz w:val="22"/>
                <w:szCs w:val="22"/>
              </w:rPr>
              <w:t xml:space="preserve"> </w:t>
            </w:r>
            <w:r w:rsidR="00E57D64" w:rsidRPr="00C33A7C">
              <w:rPr>
                <w:sz w:val="22"/>
                <w:szCs w:val="22"/>
              </w:rPr>
              <w:t xml:space="preserve">– </w:t>
            </w:r>
            <w:r w:rsidR="00886495" w:rsidRPr="00C33A7C">
              <w:rPr>
                <w:rFonts w:cs="Arial"/>
                <w:sz w:val="22"/>
                <w:szCs w:val="22"/>
              </w:rPr>
              <w:t>Développement d’un Cadre logique pour suivi-évaluation de l’activité de micro-crédit du FNAS et</w:t>
            </w:r>
            <w:r w:rsidR="00C33A7C">
              <w:rPr>
                <w:rFonts w:cs="Arial"/>
                <w:sz w:val="22"/>
                <w:szCs w:val="22"/>
              </w:rPr>
              <w:t xml:space="preserve"> de</w:t>
            </w:r>
            <w:r w:rsidR="00886495" w:rsidRPr="00C33A7C">
              <w:rPr>
                <w:rFonts w:cs="Arial"/>
                <w:sz w:val="22"/>
                <w:szCs w:val="22"/>
              </w:rPr>
              <w:t xml:space="preserve"> ses micro-projets</w:t>
            </w:r>
            <w:r w:rsidR="00886495" w:rsidRPr="00C33A7C">
              <w:rPr>
                <w:sz w:val="22"/>
                <w:szCs w:val="22"/>
              </w:rPr>
              <w:t xml:space="preserve"> </w:t>
            </w:r>
          </w:p>
          <w:p w14:paraId="6EA3E36B" w14:textId="6FB96EFE" w:rsidR="00C5469B" w:rsidRPr="00886495" w:rsidRDefault="00A55E9E" w:rsidP="00886495">
            <w:pPr>
              <w:pStyle w:val="Paragraphedeliste"/>
              <w:numPr>
                <w:ilvl w:val="0"/>
                <w:numId w:val="3"/>
              </w:numPr>
              <w:jc w:val="both"/>
              <w:rPr>
                <w:sz w:val="22"/>
                <w:szCs w:val="22"/>
              </w:rPr>
            </w:pPr>
            <w:r w:rsidRPr="00886495">
              <w:rPr>
                <w:sz w:val="22"/>
                <w:szCs w:val="22"/>
              </w:rPr>
              <w:t xml:space="preserve">Lieu d’opération </w:t>
            </w:r>
            <w:r w:rsidR="00C5469B" w:rsidRPr="00886495">
              <w:rPr>
                <w:sz w:val="22"/>
                <w:szCs w:val="22"/>
              </w:rPr>
              <w:t xml:space="preserve">: </w:t>
            </w:r>
            <w:r w:rsidR="00E17C7E" w:rsidRPr="00886495">
              <w:rPr>
                <w:sz w:val="22"/>
                <w:szCs w:val="22"/>
              </w:rPr>
              <w:t>Libreville</w:t>
            </w:r>
          </w:p>
          <w:p w14:paraId="520005E1" w14:textId="4F17916B" w:rsidR="005B3C6C" w:rsidRPr="004226A2" w:rsidRDefault="00A55E9E" w:rsidP="004226A2">
            <w:pPr>
              <w:pStyle w:val="Default"/>
              <w:numPr>
                <w:ilvl w:val="0"/>
                <w:numId w:val="3"/>
              </w:numPr>
              <w:spacing w:after="720"/>
              <w:ind w:left="714" w:hanging="357"/>
              <w:jc w:val="both"/>
              <w:rPr>
                <w:b/>
                <w:color w:val="0070C0"/>
                <w:sz w:val="22"/>
                <w:szCs w:val="22"/>
                <w:highlight w:val="yellow"/>
              </w:rPr>
            </w:pPr>
            <w:r w:rsidRPr="0005116A">
              <w:rPr>
                <w:sz w:val="22"/>
                <w:szCs w:val="22"/>
                <w:highlight w:val="yellow"/>
              </w:rPr>
              <w:t xml:space="preserve">Date de mise en </w:t>
            </w:r>
            <w:r w:rsidR="00C33A7C" w:rsidRPr="0005116A">
              <w:rPr>
                <w:sz w:val="22"/>
                <w:szCs w:val="22"/>
                <w:highlight w:val="yellow"/>
              </w:rPr>
              <w:t>œuvre</w:t>
            </w:r>
            <w:r w:rsidRPr="0005116A">
              <w:rPr>
                <w:sz w:val="22"/>
                <w:szCs w:val="22"/>
                <w:highlight w:val="yellow"/>
              </w:rPr>
              <w:t xml:space="preserve"> </w:t>
            </w:r>
            <w:r w:rsidR="00C5469B" w:rsidRPr="00E17C7E">
              <w:rPr>
                <w:sz w:val="22"/>
                <w:szCs w:val="22"/>
                <w:highlight w:val="yellow"/>
              </w:rPr>
              <w:t xml:space="preserve">: </w:t>
            </w:r>
            <w:r w:rsidR="003F1E74">
              <w:rPr>
                <w:b/>
                <w:color w:val="0070C0"/>
                <w:sz w:val="22"/>
                <w:szCs w:val="22"/>
                <w:highlight w:val="yellow"/>
              </w:rPr>
              <w:t>12-16</w:t>
            </w:r>
            <w:r w:rsidR="00E17C7E" w:rsidRPr="00E17C7E">
              <w:rPr>
                <w:b/>
                <w:color w:val="0070C0"/>
                <w:sz w:val="22"/>
                <w:szCs w:val="22"/>
                <w:highlight w:val="yellow"/>
              </w:rPr>
              <w:t xml:space="preserve"> </w:t>
            </w:r>
            <w:r w:rsidR="003F1E74">
              <w:rPr>
                <w:b/>
                <w:color w:val="0070C0"/>
                <w:sz w:val="22"/>
                <w:szCs w:val="22"/>
                <w:highlight w:val="yellow"/>
              </w:rPr>
              <w:t>mars 2018</w:t>
            </w:r>
          </w:p>
          <w:p w14:paraId="62D429F3" w14:textId="322DE144" w:rsidR="00C5469B" w:rsidRPr="0005116A" w:rsidRDefault="00A55E9E" w:rsidP="005B3C6C">
            <w:pPr>
              <w:jc w:val="both"/>
              <w:rPr>
                <w:sz w:val="22"/>
                <w:szCs w:val="22"/>
              </w:rPr>
            </w:pPr>
            <w:r w:rsidRPr="0005116A">
              <w:rPr>
                <w:b/>
                <w:sz w:val="22"/>
                <w:szCs w:val="22"/>
              </w:rPr>
              <w:t>Coordinateur responsable</w:t>
            </w:r>
            <w:r w:rsidR="00C5469B" w:rsidRPr="0005116A">
              <w:rPr>
                <w:sz w:val="22"/>
                <w:szCs w:val="22"/>
              </w:rPr>
              <w:t xml:space="preserve">: </w:t>
            </w:r>
            <w:r w:rsidR="003F1E74">
              <w:rPr>
                <w:sz w:val="22"/>
                <w:szCs w:val="22"/>
              </w:rPr>
              <w:t>Catherine BARME</w:t>
            </w:r>
          </w:p>
          <w:p w14:paraId="6D3025BE" w14:textId="31F0A22F" w:rsidR="004226A2" w:rsidRPr="004226A2" w:rsidRDefault="00A55E9E" w:rsidP="004226A2">
            <w:pPr>
              <w:spacing w:after="600"/>
              <w:jc w:val="both"/>
              <w:rPr>
                <w:sz w:val="22"/>
                <w:szCs w:val="22"/>
              </w:rPr>
            </w:pPr>
            <w:r w:rsidRPr="0005116A">
              <w:rPr>
                <w:b/>
                <w:sz w:val="22"/>
                <w:szCs w:val="22"/>
              </w:rPr>
              <w:t>Expert technique responsable</w:t>
            </w:r>
            <w:r w:rsidR="00C5469B" w:rsidRPr="0005116A">
              <w:rPr>
                <w:sz w:val="22"/>
                <w:szCs w:val="22"/>
              </w:rPr>
              <w:t xml:space="preserve">: </w:t>
            </w:r>
            <w:r w:rsidR="003F1E74">
              <w:rPr>
                <w:sz w:val="22"/>
                <w:szCs w:val="22"/>
              </w:rPr>
              <w:t>Thierry FIQUET</w:t>
            </w:r>
          </w:p>
          <w:p w14:paraId="230CBA57" w14:textId="0EF153F3" w:rsidR="00C5469B" w:rsidRPr="0005116A" w:rsidRDefault="00A55E9E" w:rsidP="005B3C6C">
            <w:pPr>
              <w:jc w:val="both"/>
              <w:rPr>
                <w:color w:val="0070C0"/>
                <w:sz w:val="22"/>
                <w:szCs w:val="22"/>
              </w:rPr>
            </w:pPr>
            <w:r w:rsidRPr="005D0B8F">
              <w:rPr>
                <w:b/>
                <w:sz w:val="22"/>
                <w:szCs w:val="22"/>
              </w:rPr>
              <w:t>Date de publication</w:t>
            </w:r>
            <w:r w:rsidRPr="0005116A">
              <w:rPr>
                <w:sz w:val="22"/>
                <w:szCs w:val="22"/>
              </w:rPr>
              <w:t xml:space="preserve"> </w:t>
            </w:r>
            <w:r w:rsidR="00C5469B" w:rsidRPr="0005116A">
              <w:rPr>
                <w:sz w:val="22"/>
                <w:szCs w:val="22"/>
              </w:rPr>
              <w:t xml:space="preserve">: </w:t>
            </w:r>
            <w:r w:rsidR="00396E00">
              <w:rPr>
                <w:sz w:val="22"/>
                <w:szCs w:val="22"/>
              </w:rPr>
              <w:t>06</w:t>
            </w:r>
            <w:r w:rsidR="003F1E74">
              <w:rPr>
                <w:sz w:val="22"/>
                <w:szCs w:val="22"/>
              </w:rPr>
              <w:t>/02/2018</w:t>
            </w:r>
          </w:p>
          <w:p w14:paraId="1124285D" w14:textId="1A9D1FF1" w:rsidR="00C5469B" w:rsidRPr="005D0B8F" w:rsidRDefault="0020167B" w:rsidP="003F1E74">
            <w:pPr>
              <w:jc w:val="both"/>
              <w:rPr>
                <w:color w:val="0070C0"/>
              </w:rPr>
            </w:pPr>
            <w:r w:rsidRPr="0005116A">
              <w:rPr>
                <w:b/>
                <w:sz w:val="22"/>
                <w:szCs w:val="22"/>
                <w:highlight w:val="yellow"/>
              </w:rPr>
              <w:t>Date limite</w:t>
            </w:r>
            <w:r w:rsidR="007C3899" w:rsidRPr="0005116A">
              <w:rPr>
                <w:b/>
                <w:sz w:val="22"/>
                <w:szCs w:val="22"/>
                <w:highlight w:val="yellow"/>
              </w:rPr>
              <w:t xml:space="preserve"> de soumission des </w:t>
            </w:r>
            <w:r w:rsidR="008A10D5" w:rsidRPr="0005116A">
              <w:rPr>
                <w:b/>
                <w:sz w:val="22"/>
                <w:szCs w:val="22"/>
                <w:highlight w:val="yellow"/>
              </w:rPr>
              <w:t xml:space="preserve">candidatures </w:t>
            </w:r>
            <w:r w:rsidR="008A10D5" w:rsidRPr="003F1E74">
              <w:rPr>
                <w:b/>
                <w:sz w:val="22"/>
                <w:szCs w:val="22"/>
                <w:highlight w:val="yellow"/>
              </w:rPr>
              <w:t>:</w:t>
            </w:r>
            <w:r w:rsidR="00C5469B" w:rsidRPr="003F1E74">
              <w:rPr>
                <w:b/>
                <w:sz w:val="22"/>
                <w:szCs w:val="22"/>
                <w:highlight w:val="yellow"/>
              </w:rPr>
              <w:t xml:space="preserve"> </w:t>
            </w:r>
            <w:r w:rsidR="00396E00">
              <w:rPr>
                <w:b/>
                <w:color w:val="0070C0"/>
                <w:sz w:val="22"/>
                <w:szCs w:val="22"/>
                <w:highlight w:val="yellow"/>
              </w:rPr>
              <w:t>06</w:t>
            </w:r>
            <w:r w:rsidR="003F1E74" w:rsidRPr="003F1E74">
              <w:rPr>
                <w:b/>
                <w:color w:val="0070C0"/>
                <w:sz w:val="22"/>
                <w:szCs w:val="22"/>
                <w:highlight w:val="yellow"/>
              </w:rPr>
              <w:t>/03/2018</w:t>
            </w:r>
          </w:p>
        </w:tc>
      </w:tr>
    </w:tbl>
    <w:p w14:paraId="11581FFF" w14:textId="77777777" w:rsidR="00256B85" w:rsidRPr="008247C2" w:rsidRDefault="00256B85" w:rsidP="00C5469B"/>
    <w:p w14:paraId="7224A0BD" w14:textId="77777777" w:rsidR="006A0A6B" w:rsidRDefault="006A0A6B" w:rsidP="00C5469B"/>
    <w:p w14:paraId="49DAF325" w14:textId="77777777" w:rsidR="00256B85" w:rsidRDefault="00256B85" w:rsidP="00C5469B"/>
    <w:p w14:paraId="6FAEAC5A" w14:textId="77777777" w:rsidR="00256B85" w:rsidRDefault="00256B85" w:rsidP="00C5469B"/>
    <w:p w14:paraId="1B16F7B4" w14:textId="77777777" w:rsidR="00256B85" w:rsidRDefault="00256B85" w:rsidP="00C5469B"/>
    <w:p w14:paraId="5B29635F" w14:textId="77777777" w:rsidR="00256B85" w:rsidRDefault="00256B85" w:rsidP="00C5469B"/>
    <w:p w14:paraId="5DD60914" w14:textId="77777777" w:rsidR="00256B85" w:rsidRDefault="00256B85" w:rsidP="00C5469B"/>
    <w:p w14:paraId="77272EBC" w14:textId="77777777" w:rsidR="00256B85" w:rsidRDefault="00256B85" w:rsidP="00C5469B"/>
    <w:p w14:paraId="3538E6C5" w14:textId="77777777" w:rsidR="00256B85" w:rsidRDefault="00256B85" w:rsidP="00C5469B"/>
    <w:p w14:paraId="62F9F2CC" w14:textId="77777777" w:rsidR="00256B85" w:rsidRDefault="00256B85" w:rsidP="00C5469B"/>
    <w:p w14:paraId="29E47725" w14:textId="77777777" w:rsidR="00256B85" w:rsidRDefault="00256B85" w:rsidP="00C5469B"/>
    <w:p w14:paraId="3CBB83A9" w14:textId="77777777" w:rsidR="00256B85" w:rsidRPr="008247C2" w:rsidRDefault="00256B85" w:rsidP="00C5469B"/>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8247C2" w:rsidRDefault="003D224C" w:rsidP="003D224C">
      <w:pPr>
        <w:spacing w:after="0"/>
        <w:jc w:val="both"/>
        <w:rPr>
          <w:rFonts w:cs="Arial"/>
          <w:sz w:val="20"/>
          <w:lang w:eastAsia="fr-FR"/>
        </w:rPr>
      </w:pPr>
      <w:r w:rsidRPr="008247C2">
        <w:rPr>
          <w:rFonts w:cs="Arial"/>
          <w:sz w:val="20"/>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8247C2">
        <w:rPr>
          <w:rFonts w:cs="Arial"/>
          <w:i/>
          <w:sz w:val="20"/>
          <w:lang w:eastAsia="fr-FR"/>
        </w:rPr>
        <w:t>CE) COM (2016) 740 – « Proposition pour un nouveau consensus européen sur le développement - Notre monde, notre dignité, notre avenir</w:t>
      </w:r>
      <w:r w:rsidRPr="008247C2">
        <w:rPr>
          <w:rFonts w:cs="Arial"/>
          <w:sz w:val="20"/>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8247C2" w:rsidRDefault="003D224C" w:rsidP="003D224C">
      <w:pPr>
        <w:spacing w:after="0"/>
        <w:jc w:val="both"/>
        <w:rPr>
          <w:rFonts w:cs="Arial"/>
          <w:sz w:val="20"/>
          <w:lang w:eastAsia="fr-FR"/>
        </w:rPr>
      </w:pPr>
    </w:p>
    <w:p w14:paraId="626122D5"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8247C2">
        <w:rPr>
          <w:rFonts w:cs="Arial"/>
          <w:sz w:val="20"/>
          <w:lang w:eastAsia="fr-FR"/>
        </w:rPr>
        <w:t>EuropeAid</w:t>
      </w:r>
      <w:proofErr w:type="spellEnd"/>
      <w:r w:rsidRPr="008247C2">
        <w:rPr>
          <w:rFonts w:cs="Arial"/>
          <w:sz w:val="20"/>
          <w:lang w:eastAsia="fr-FR"/>
        </w:rPr>
        <w:t xml:space="preserve">), la France, l'Espagne et la Belgique. La facilité est mise en œuvre par un partenariat composé de quatre institutions renommées de la coopération technique : </w:t>
      </w:r>
      <w:r w:rsidRPr="008247C2">
        <w:rPr>
          <w:rFonts w:cs="Arial"/>
          <w:i/>
          <w:sz w:val="20"/>
          <w:lang w:eastAsia="fr-FR"/>
        </w:rPr>
        <w:t>Expertise France</w:t>
      </w:r>
      <w:r w:rsidRPr="008247C2">
        <w:rPr>
          <w:rFonts w:cs="Arial"/>
          <w:sz w:val="20"/>
          <w:lang w:eastAsia="fr-FR"/>
        </w:rPr>
        <w:t xml:space="preserve"> (leader du partenariat) ; la </w:t>
      </w:r>
      <w:proofErr w:type="spellStart"/>
      <w:r w:rsidRPr="008247C2">
        <w:rPr>
          <w:rFonts w:cs="Arial"/>
          <w:i/>
          <w:sz w:val="20"/>
          <w:lang w:eastAsia="fr-FR"/>
        </w:rPr>
        <w:t>Fundación</w:t>
      </w:r>
      <w:proofErr w:type="spellEnd"/>
      <w:r w:rsidRPr="008247C2">
        <w:rPr>
          <w:rFonts w:cs="Arial"/>
          <w:i/>
          <w:sz w:val="20"/>
          <w:lang w:eastAsia="fr-FR"/>
        </w:rPr>
        <w:t xml:space="preserve"> Internacional y para </w:t>
      </w:r>
      <w:proofErr w:type="spellStart"/>
      <w:r w:rsidRPr="008247C2">
        <w:rPr>
          <w:rFonts w:cs="Arial"/>
          <w:i/>
          <w:sz w:val="20"/>
          <w:lang w:eastAsia="fr-FR"/>
        </w:rPr>
        <w:t>Iberoamérica</w:t>
      </w:r>
      <w:proofErr w:type="spellEnd"/>
      <w:r w:rsidRPr="008247C2">
        <w:rPr>
          <w:rFonts w:cs="Arial"/>
          <w:i/>
          <w:sz w:val="20"/>
          <w:lang w:eastAsia="fr-FR"/>
        </w:rPr>
        <w:t xml:space="preserve"> de </w:t>
      </w:r>
      <w:proofErr w:type="spellStart"/>
      <w:r w:rsidRPr="008247C2">
        <w:rPr>
          <w:rFonts w:cs="Arial"/>
          <w:i/>
          <w:sz w:val="20"/>
          <w:lang w:eastAsia="fr-FR"/>
        </w:rPr>
        <w:t>Administración</w:t>
      </w:r>
      <w:proofErr w:type="spellEnd"/>
      <w:r w:rsidRPr="008247C2">
        <w:rPr>
          <w:rFonts w:cs="Arial"/>
          <w:i/>
          <w:sz w:val="20"/>
          <w:lang w:eastAsia="fr-FR"/>
        </w:rPr>
        <w:t xml:space="preserve"> y </w:t>
      </w:r>
      <w:proofErr w:type="spellStart"/>
      <w:r w:rsidRPr="008247C2">
        <w:rPr>
          <w:rFonts w:cs="Arial"/>
          <w:i/>
          <w:sz w:val="20"/>
          <w:lang w:eastAsia="fr-FR"/>
        </w:rPr>
        <w:t>Políticas</w:t>
      </w:r>
      <w:proofErr w:type="spellEnd"/>
      <w:r w:rsidRPr="008247C2">
        <w:rPr>
          <w:rFonts w:cs="Arial"/>
          <w:i/>
          <w:sz w:val="20"/>
          <w:lang w:eastAsia="fr-FR"/>
        </w:rPr>
        <w:t xml:space="preserve"> </w:t>
      </w:r>
      <w:proofErr w:type="spellStart"/>
      <w:r w:rsidRPr="008247C2">
        <w:rPr>
          <w:rFonts w:cs="Arial"/>
          <w:i/>
          <w:sz w:val="20"/>
          <w:lang w:eastAsia="fr-FR"/>
        </w:rPr>
        <w:t>Públicas</w:t>
      </w:r>
      <w:proofErr w:type="spellEnd"/>
      <w:r w:rsidRPr="008247C2">
        <w:rPr>
          <w:rFonts w:cs="Arial"/>
          <w:sz w:val="20"/>
          <w:lang w:eastAsia="fr-FR"/>
        </w:rPr>
        <w:t xml:space="preserve"> (FIIAPP) ; la </w:t>
      </w:r>
      <w:proofErr w:type="spellStart"/>
      <w:r w:rsidRPr="008247C2">
        <w:rPr>
          <w:rFonts w:cs="Arial"/>
          <w:i/>
          <w:sz w:val="20"/>
          <w:lang w:eastAsia="fr-FR"/>
        </w:rPr>
        <w:t>Belgian</w:t>
      </w:r>
      <w:proofErr w:type="spellEnd"/>
      <w:r w:rsidRPr="008247C2">
        <w:rPr>
          <w:rFonts w:cs="Arial"/>
          <w:i/>
          <w:sz w:val="20"/>
          <w:lang w:eastAsia="fr-FR"/>
        </w:rPr>
        <w:t xml:space="preserve"> International </w:t>
      </w:r>
      <w:proofErr w:type="spellStart"/>
      <w:r w:rsidRPr="008247C2">
        <w:rPr>
          <w:rFonts w:cs="Arial"/>
          <w:i/>
          <w:sz w:val="20"/>
          <w:lang w:eastAsia="fr-FR"/>
        </w:rPr>
        <w:t>Cooperation</w:t>
      </w:r>
      <w:proofErr w:type="spellEnd"/>
      <w:r w:rsidRPr="008247C2">
        <w:rPr>
          <w:rFonts w:cs="Arial"/>
          <w:i/>
          <w:sz w:val="20"/>
          <w:lang w:eastAsia="fr-FR"/>
        </w:rPr>
        <w:t xml:space="preserve"> on Social Protection</w:t>
      </w:r>
      <w:r w:rsidRPr="008247C2">
        <w:rPr>
          <w:rFonts w:cs="Arial"/>
          <w:sz w:val="20"/>
          <w:lang w:eastAsia="fr-FR"/>
        </w:rPr>
        <w:t xml:space="preserve"> (Coopération belge sur la protection sociale ou BELINCOSOC) et la </w:t>
      </w:r>
      <w:r w:rsidRPr="008247C2">
        <w:rPr>
          <w:rFonts w:cs="Arial"/>
          <w:i/>
          <w:sz w:val="20"/>
          <w:lang w:eastAsia="fr-FR"/>
        </w:rPr>
        <w:t>Coopération Technique de Belgique</w:t>
      </w:r>
      <w:r w:rsidRPr="008247C2">
        <w:rPr>
          <w:rFonts w:cs="Arial"/>
          <w:sz w:val="20"/>
          <w:lang w:eastAsia="fr-FR"/>
        </w:rPr>
        <w:t xml:space="preserve"> (BTC/CTB). </w:t>
      </w:r>
    </w:p>
    <w:p w14:paraId="43823685" w14:textId="77777777" w:rsidR="003D224C" w:rsidRPr="008247C2" w:rsidRDefault="003D224C" w:rsidP="003D224C">
      <w:pPr>
        <w:spacing w:after="0"/>
        <w:jc w:val="both"/>
        <w:rPr>
          <w:rFonts w:cs="Arial"/>
          <w:sz w:val="20"/>
          <w:lang w:eastAsia="fr-FR"/>
        </w:rPr>
      </w:pPr>
    </w:p>
    <w:p w14:paraId="757270CB" w14:textId="77777777" w:rsidR="003D224C" w:rsidRPr="008247C2" w:rsidRDefault="003D224C" w:rsidP="003D224C">
      <w:pPr>
        <w:spacing w:after="0"/>
        <w:jc w:val="both"/>
        <w:rPr>
          <w:rFonts w:cs="Arial"/>
          <w:sz w:val="20"/>
          <w:lang w:eastAsia="fr-FR"/>
        </w:rPr>
      </w:pPr>
      <w:r w:rsidRPr="008247C2">
        <w:rPr>
          <w:rFonts w:cs="Arial"/>
          <w:sz w:val="20"/>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8247C2" w:rsidRDefault="003D224C" w:rsidP="003D224C">
      <w:pPr>
        <w:jc w:val="both"/>
        <w:rPr>
          <w:rFonts w:cs="Arial"/>
          <w:sz w:val="20"/>
          <w:lang w:eastAsia="fr-FR"/>
        </w:rPr>
      </w:pPr>
    </w:p>
    <w:p w14:paraId="2CF906C1" w14:textId="77777777" w:rsidR="003D224C" w:rsidRPr="008247C2" w:rsidRDefault="003D224C" w:rsidP="003D224C">
      <w:pPr>
        <w:jc w:val="both"/>
        <w:rPr>
          <w:rFonts w:cs="Arial"/>
          <w:sz w:val="20"/>
          <w:lang w:eastAsia="fr-FR"/>
        </w:rPr>
      </w:pPr>
      <w:r w:rsidRPr="008247C2">
        <w:rPr>
          <w:rFonts w:cs="Arial"/>
          <w:sz w:val="20"/>
          <w:lang w:eastAsia="fr-FR"/>
        </w:rPr>
        <w:t>La facilité SOCIEUX+ :</w:t>
      </w:r>
    </w:p>
    <w:p w14:paraId="6884F72C"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 xml:space="preserve">Reconnaît le rôle de la protection sociale et de l'emploi dans la réduction de la pauvreté et de la vulnérabilité ; </w:t>
      </w:r>
    </w:p>
    <w:p w14:paraId="500B43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Soutient les efforts des gouvernements des pays partenaires pour la promotion de systèmes durables et inclusifs pour l'emploi et la protection sociale ;</w:t>
      </w:r>
    </w:p>
    <w:p w14:paraId="5B3304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Vient compléter les initiatives de coopération de l'UE dans les domaines de la protection sociale, du travail et de l’emploi.</w:t>
      </w:r>
    </w:p>
    <w:p w14:paraId="4F4A1816" w14:textId="77777777" w:rsidR="003D224C" w:rsidRPr="008247C2" w:rsidRDefault="003D224C" w:rsidP="003D224C">
      <w:pPr>
        <w:spacing w:after="0"/>
        <w:jc w:val="both"/>
        <w:rPr>
          <w:rFonts w:cs="Arial"/>
          <w:sz w:val="20"/>
          <w:lang w:eastAsia="fr-FR"/>
        </w:rPr>
      </w:pPr>
    </w:p>
    <w:p w14:paraId="688AD1C4"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8247C2" w:rsidRDefault="003D224C" w:rsidP="003D224C">
      <w:pPr>
        <w:spacing w:after="0"/>
        <w:jc w:val="both"/>
        <w:rPr>
          <w:rFonts w:cs="Arial"/>
          <w:sz w:val="20"/>
          <w:lang w:eastAsia="fr-FR"/>
        </w:rPr>
      </w:pPr>
    </w:p>
    <w:p w14:paraId="1A6D5A43" w14:textId="578F7756" w:rsidR="003D224C" w:rsidRDefault="003D224C" w:rsidP="003D224C">
      <w:pPr>
        <w:spacing w:after="0"/>
        <w:jc w:val="both"/>
        <w:rPr>
          <w:rFonts w:cs="Arial"/>
          <w:sz w:val="20"/>
          <w:lang w:eastAsia="fr-FR"/>
        </w:rPr>
      </w:pPr>
      <w:r w:rsidRPr="008247C2">
        <w:rPr>
          <w:rFonts w:cs="Arial"/>
          <w:sz w:val="20"/>
          <w:lang w:eastAsia="fr-FR"/>
        </w:rPr>
        <w:t>SOCIEUX+ est opérationnelle depuis septembre 2016. Elle est une extension du p</w:t>
      </w:r>
      <w:bookmarkStart w:id="0" w:name="_Hlk481143789"/>
      <w:r w:rsidR="00E70F85" w:rsidRPr="008247C2">
        <w:rPr>
          <w:rFonts w:cs="Arial"/>
          <w:sz w:val="20"/>
          <w:lang w:eastAsia="fr-FR"/>
        </w:rPr>
        <w:t>rogramme SOCIEUX lancé en 2013.</w:t>
      </w:r>
    </w:p>
    <w:p w14:paraId="00B6AD3C" w14:textId="77777777" w:rsidR="00256B85" w:rsidRDefault="00256B85" w:rsidP="003D224C">
      <w:pPr>
        <w:spacing w:after="0"/>
        <w:jc w:val="both"/>
        <w:rPr>
          <w:rFonts w:cs="Arial"/>
          <w:sz w:val="20"/>
          <w:lang w:eastAsia="fr-FR"/>
        </w:rPr>
      </w:pPr>
    </w:p>
    <w:p w14:paraId="0271F9C4" w14:textId="77777777" w:rsidR="00256B85" w:rsidRDefault="00256B85" w:rsidP="003D224C">
      <w:pPr>
        <w:spacing w:after="0"/>
        <w:jc w:val="both"/>
        <w:rPr>
          <w:rFonts w:cs="Arial"/>
          <w:sz w:val="20"/>
          <w:lang w:eastAsia="fr-FR"/>
        </w:rPr>
      </w:pPr>
    </w:p>
    <w:p w14:paraId="698779D1" w14:textId="77777777" w:rsidR="00256B85" w:rsidRDefault="00256B85" w:rsidP="003D224C">
      <w:pPr>
        <w:spacing w:after="0"/>
        <w:jc w:val="both"/>
        <w:rPr>
          <w:rFonts w:cs="Arial"/>
          <w:sz w:val="20"/>
          <w:lang w:eastAsia="fr-FR"/>
        </w:rPr>
      </w:pPr>
    </w:p>
    <w:p w14:paraId="0D5927D0" w14:textId="77777777" w:rsidR="00256B85" w:rsidRPr="008247C2" w:rsidRDefault="00256B85" w:rsidP="003D224C">
      <w:pPr>
        <w:spacing w:after="0"/>
        <w:jc w:val="both"/>
        <w:rPr>
          <w:rFonts w:cs="Arial"/>
          <w:sz w:val="20"/>
          <w:lang w:eastAsia="fr-FR"/>
        </w:rPr>
      </w:pPr>
    </w:p>
    <w:bookmarkEnd w:id="0"/>
    <w:p w14:paraId="7E411D99" w14:textId="361AA1F6" w:rsidR="003A55B0" w:rsidRPr="008247C2" w:rsidRDefault="00710908" w:rsidP="00652B37">
      <w:pPr>
        <w:pStyle w:val="Titre1"/>
        <w:numPr>
          <w:ilvl w:val="0"/>
          <w:numId w:val="9"/>
        </w:numPr>
        <w:spacing w:after="240"/>
      </w:pPr>
      <w:r w:rsidRPr="008247C2">
        <w:t>DESCRIPTION DE L’ACTION</w:t>
      </w:r>
    </w:p>
    <w:p w14:paraId="7D7EE33C" w14:textId="2B62EF36" w:rsidR="003615D3" w:rsidRPr="00D27502" w:rsidRDefault="00ED29F6" w:rsidP="00D27502">
      <w:pPr>
        <w:suppressAutoHyphens w:val="0"/>
        <w:autoSpaceDE w:val="0"/>
        <w:adjustRightInd w:val="0"/>
        <w:spacing w:after="480"/>
        <w:jc w:val="both"/>
        <w:rPr>
          <w:rFonts w:eastAsia="Cambria" w:cs="TodaySBOP-Regular"/>
          <w:sz w:val="20"/>
          <w:lang w:eastAsia="fr-FR"/>
        </w:rPr>
      </w:pPr>
      <w:r w:rsidRPr="00D27502">
        <w:rPr>
          <w:rFonts w:eastAsia="Cambria" w:cs="TodaySBOP-Regular"/>
          <w:sz w:val="20"/>
          <w:lang w:eastAsia="fr-FR"/>
        </w:rPr>
        <w:t>Le Gabon a longtemps été considéré comme un « Etat providence » avec des niveaux de prestations sociales uniques sur le continent. Face à la crise  politique et économique  très importante,  le pays a entrepris la mise en place d’un plan d’action stratégique à horizon 2025, « Stratégie d’Investissement Humain du Gabon » (SIHG) comprenant 4 axes majeurs pour diversifier l’économie et passer d’une politique d’aides sociales à une politique intégrée pour le soutien à l’investissement et l’</w:t>
      </w:r>
      <w:r w:rsidR="00D27502" w:rsidRPr="00D27502">
        <w:rPr>
          <w:rFonts w:eastAsia="Cambria" w:cs="TodaySBOP-Regular"/>
          <w:sz w:val="20"/>
          <w:lang w:eastAsia="fr-FR"/>
        </w:rPr>
        <w:t>entreprenariat</w:t>
      </w:r>
      <w:r w:rsidRPr="00D27502">
        <w:rPr>
          <w:rFonts w:eastAsia="Cambria" w:cs="TodaySBOP-Regular"/>
          <w:sz w:val="20"/>
          <w:lang w:eastAsia="fr-FR"/>
        </w:rPr>
        <w:t xml:space="preserve">. </w:t>
      </w:r>
    </w:p>
    <w:p w14:paraId="69E0C36E" w14:textId="77777777" w:rsidR="004B0FFB" w:rsidRPr="00D27502" w:rsidRDefault="004B0FFB" w:rsidP="00D27502">
      <w:pPr>
        <w:spacing w:after="480"/>
        <w:jc w:val="both"/>
        <w:rPr>
          <w:sz w:val="20"/>
        </w:rPr>
      </w:pPr>
      <w:r w:rsidRPr="00D27502">
        <w:rPr>
          <w:sz w:val="20"/>
        </w:rPr>
        <w:t>Créé par Décret no. 0252/PR/MFAS du 19 juin 2012, le FNAS, est un établissement public doté de personnalité juridique et jouissant de l’autonomie de gestion administrative et financière. Il est placé sous la tutelle de la Première Vice-Primature, Ministère de la Santé, de la Prévoyance Sociale et de la Solidarité Nationale.</w:t>
      </w:r>
    </w:p>
    <w:p w14:paraId="6EB648F8" w14:textId="77777777" w:rsidR="004B0FFB" w:rsidRPr="00D27502" w:rsidRDefault="004B0FFB" w:rsidP="00D27502">
      <w:pPr>
        <w:spacing w:after="480"/>
        <w:jc w:val="both"/>
        <w:rPr>
          <w:sz w:val="20"/>
        </w:rPr>
      </w:pPr>
      <w:r w:rsidRPr="00D27502">
        <w:rPr>
          <w:sz w:val="20"/>
        </w:rPr>
        <w:t>Le FNAS est effectivement opérationnel depuis octobre 2013 afin d’assurer, à titre exclusif, la collecte, la centralisation et l’attribution des aides sociales en République Gabonaise (Article 9 du décret no. 252/PR/MFAS).</w:t>
      </w:r>
    </w:p>
    <w:p w14:paraId="621A5584" w14:textId="77777777" w:rsidR="004B0FFB" w:rsidRPr="00D27502" w:rsidRDefault="004B0FFB" w:rsidP="00D27502">
      <w:pPr>
        <w:spacing w:after="480"/>
        <w:jc w:val="both"/>
        <w:rPr>
          <w:sz w:val="20"/>
        </w:rPr>
      </w:pPr>
      <w:r w:rsidRPr="00D27502">
        <w:rPr>
          <w:sz w:val="20"/>
        </w:rPr>
        <w:t>Depuis 2015, en devenant l’opérateur de mise en œuvre du volet 2 de la Stratégie d’Investissement Humain du Gabon (SIHG) en collaboration avec les autres administrations compétentes en juin 2014 (Décret no. 00225/PR/MPSSN), ses missions ont évolué. En particulier, le FNAS est chargé de l’autonomisation des « Gabonais Economiquement Faibles » (GEF) par le biais du financement d’Activités Génératrices de Revenus (AGR).</w:t>
      </w:r>
    </w:p>
    <w:p w14:paraId="46EBD886" w14:textId="50743DF3" w:rsidR="00D73540" w:rsidRPr="00D27502" w:rsidRDefault="00D73540" w:rsidP="00D27502">
      <w:pPr>
        <w:spacing w:after="480"/>
        <w:jc w:val="both"/>
        <w:rPr>
          <w:sz w:val="20"/>
        </w:rPr>
      </w:pPr>
      <w:r w:rsidRPr="00D27502">
        <w:rPr>
          <w:sz w:val="20"/>
        </w:rPr>
        <w:t>L’activité 1 de l’Action 2015-21, se déroulant du 19 au 28 avril 2016, a consisté en une « </w:t>
      </w:r>
      <w:r w:rsidRPr="00D27502">
        <w:rPr>
          <w:i/>
          <w:sz w:val="20"/>
        </w:rPr>
        <w:t>mission d’analyse et d’évaluation des besoins en renforcement des capacités et en formation</w:t>
      </w:r>
      <w:r w:rsidRPr="00D27502">
        <w:rPr>
          <w:sz w:val="20"/>
        </w:rPr>
        <w:t> ». Elle a identifié comme préalable l’élaboration d’une planification stratégique afin d’orienter les actions et définir les indicateurs de suivi-évaluation des opérations du FNAS et de son activité de microcrédit.</w:t>
      </w:r>
    </w:p>
    <w:p w14:paraId="0A412FED" w14:textId="77777777" w:rsidR="00C04EBF" w:rsidRPr="00D27502" w:rsidRDefault="00C04EBF" w:rsidP="00C04EBF">
      <w:pPr>
        <w:spacing w:after="480"/>
        <w:jc w:val="both"/>
        <w:rPr>
          <w:sz w:val="20"/>
        </w:rPr>
      </w:pPr>
      <w:r w:rsidRPr="00D27502">
        <w:rPr>
          <w:sz w:val="20"/>
        </w:rPr>
        <w:t xml:space="preserve">L’activité 2 a permis d’élaborer un </w:t>
      </w:r>
      <w:r>
        <w:rPr>
          <w:sz w:val="20"/>
        </w:rPr>
        <w:t>plan stratégique de développement et d’organisation des activités du FNAS</w:t>
      </w:r>
      <w:r w:rsidRPr="00D27502">
        <w:rPr>
          <w:sz w:val="20"/>
        </w:rPr>
        <w:t> : acquis, forces et potentialités du FNAS. Ce plan stratégique issu d’une collaboration étroite entre les experts SOCIEUX+ et les équipes du FNAS a été approuvé par la nouvelle direction du FNAS.</w:t>
      </w:r>
    </w:p>
    <w:p w14:paraId="42144088" w14:textId="77777777" w:rsidR="005D4222" w:rsidRPr="00227C90" w:rsidRDefault="005D4222" w:rsidP="005D4222">
      <w:pPr>
        <w:spacing w:after="480"/>
        <w:jc w:val="both"/>
        <w:rPr>
          <w:b/>
          <w:szCs w:val="18"/>
        </w:rPr>
      </w:pPr>
      <w:r w:rsidRPr="00227C90">
        <w:rPr>
          <w:b/>
          <w:szCs w:val="18"/>
        </w:rPr>
        <w:t>L’activité 3, objet du présent appel à candidatures vise à définir un cadre logique en tant qu’outil permettant la gestion et le suivi des activités génératrices de revenus, tout comme le pilotage physico/financier des activités du FNAS.</w:t>
      </w:r>
    </w:p>
    <w:p w14:paraId="1DFC8344" w14:textId="77777777" w:rsidR="005D4222" w:rsidRPr="00227C90" w:rsidRDefault="005D4222" w:rsidP="005D4222">
      <w:pPr>
        <w:spacing w:after="480"/>
        <w:jc w:val="both"/>
        <w:rPr>
          <w:b/>
          <w:szCs w:val="18"/>
        </w:rPr>
      </w:pPr>
      <w:r w:rsidRPr="00227C90">
        <w:rPr>
          <w:b/>
          <w:szCs w:val="18"/>
        </w:rPr>
        <w:t>Elle vise à</w:t>
      </w:r>
      <w:r>
        <w:rPr>
          <w:b/>
          <w:szCs w:val="18"/>
        </w:rPr>
        <w:t> :</w:t>
      </w:r>
    </w:p>
    <w:p w14:paraId="7B4483B8" w14:textId="77777777" w:rsidR="005D4222" w:rsidRPr="00227C90" w:rsidRDefault="005D4222" w:rsidP="005D4222">
      <w:pPr>
        <w:pStyle w:val="Paragraphedeliste"/>
        <w:numPr>
          <w:ilvl w:val="0"/>
          <w:numId w:val="34"/>
        </w:numPr>
        <w:spacing w:before="120"/>
        <w:rPr>
          <w:szCs w:val="18"/>
        </w:rPr>
      </w:pPr>
      <w:r w:rsidRPr="00227C90">
        <w:rPr>
          <w:szCs w:val="18"/>
        </w:rPr>
        <w:t xml:space="preserve">La formalisation d’un </w:t>
      </w:r>
      <w:r w:rsidRPr="00227C90">
        <w:rPr>
          <w:b/>
          <w:szCs w:val="18"/>
        </w:rPr>
        <w:t>Cadre logique pour Suivi-Evaluation</w:t>
      </w:r>
      <w:r w:rsidRPr="00227C90">
        <w:rPr>
          <w:szCs w:val="18"/>
        </w:rPr>
        <w:t>, instrument, ou système, de travail permettant d’identifier les problèmes, les besoins, les objectifs, les acteurs, les parties intéressées, les risques ;</w:t>
      </w:r>
    </w:p>
    <w:p w14:paraId="23AABFBC" w14:textId="7A8C7B7C" w:rsidR="00C33A7C" w:rsidRPr="005D4222" w:rsidRDefault="005D4222" w:rsidP="005D4222">
      <w:pPr>
        <w:pStyle w:val="Paragraphedeliste"/>
        <w:numPr>
          <w:ilvl w:val="0"/>
          <w:numId w:val="34"/>
        </w:numPr>
        <w:spacing w:before="120"/>
        <w:rPr>
          <w:szCs w:val="18"/>
        </w:rPr>
      </w:pPr>
      <w:r w:rsidRPr="00227C90">
        <w:rPr>
          <w:szCs w:val="18"/>
        </w:rPr>
        <w:t xml:space="preserve">La mise en place du </w:t>
      </w:r>
      <w:r w:rsidRPr="00227C90">
        <w:rPr>
          <w:b/>
          <w:szCs w:val="18"/>
        </w:rPr>
        <w:t>suivi de l’activité de microcrédit</w:t>
      </w:r>
      <w:r w:rsidRPr="00227C90">
        <w:rPr>
          <w:szCs w:val="18"/>
        </w:rPr>
        <w:t>, de manière à permettre une gestion de portefeuille saine et efficiente.</w:t>
      </w:r>
    </w:p>
    <w:p w14:paraId="62978681" w14:textId="203BABB1" w:rsidR="004F060B" w:rsidRPr="008247C2" w:rsidRDefault="009541D1" w:rsidP="00652B37">
      <w:pPr>
        <w:pStyle w:val="Titre1"/>
        <w:numPr>
          <w:ilvl w:val="0"/>
          <w:numId w:val="8"/>
        </w:numPr>
        <w:spacing w:line="240" w:lineRule="auto"/>
      </w:pPr>
      <w:r w:rsidRPr="008247C2">
        <w:t>RÔLE DE L’EXPERT</w:t>
      </w:r>
    </w:p>
    <w:p w14:paraId="54F10049" w14:textId="77777777" w:rsidR="00E00F2A" w:rsidRDefault="00E00F2A" w:rsidP="00E00F2A">
      <w:pPr>
        <w:pStyle w:val="Titre3"/>
        <w:ind w:left="0" w:firstLine="0"/>
      </w:pPr>
    </w:p>
    <w:p w14:paraId="163643AB" w14:textId="5C4EC68B" w:rsidR="006022A0" w:rsidRPr="008247C2" w:rsidRDefault="009541D1" w:rsidP="00E00F2A">
      <w:pPr>
        <w:pStyle w:val="Titre3"/>
        <w:ind w:left="0" w:firstLine="0"/>
        <w:jc w:val="both"/>
      </w:pPr>
      <w:r w:rsidRPr="008247C2">
        <w:t xml:space="preserve">Nombre d’experts </w:t>
      </w:r>
      <w:r w:rsidR="008247C2" w:rsidRPr="008247C2">
        <w:t>mobilisé</w:t>
      </w:r>
      <w:r w:rsidRPr="008247C2">
        <w:t>s et charge de travail</w:t>
      </w:r>
    </w:p>
    <w:p w14:paraId="65A7C1DA" w14:textId="4D5FECAB" w:rsidR="00AB416B" w:rsidRPr="008645C0" w:rsidRDefault="00AB416B" w:rsidP="00AB416B">
      <w:pPr>
        <w:jc w:val="both"/>
        <w:rPr>
          <w:i/>
          <w:sz w:val="22"/>
          <w:szCs w:val="22"/>
        </w:rPr>
      </w:pPr>
      <w:r w:rsidRPr="008645C0">
        <w:rPr>
          <w:i/>
          <w:sz w:val="22"/>
          <w:szCs w:val="22"/>
        </w:rPr>
        <w:t>2 experts seront mobilisés</w:t>
      </w:r>
      <w:r>
        <w:rPr>
          <w:i/>
          <w:sz w:val="22"/>
          <w:szCs w:val="22"/>
        </w:rPr>
        <w:t xml:space="preserve"> (13 jours y compris les jours de voyage)</w:t>
      </w:r>
    </w:p>
    <w:tbl>
      <w:tblPr>
        <w:tblW w:w="9340" w:type="dxa"/>
        <w:tblCellMar>
          <w:left w:w="70" w:type="dxa"/>
          <w:right w:w="70" w:type="dxa"/>
        </w:tblCellMar>
        <w:tblLook w:val="04A0" w:firstRow="1" w:lastRow="0" w:firstColumn="1" w:lastColumn="0" w:noHBand="0" w:noVBand="1"/>
      </w:tblPr>
      <w:tblGrid>
        <w:gridCol w:w="1078"/>
        <w:gridCol w:w="1377"/>
        <w:gridCol w:w="1377"/>
        <w:gridCol w:w="1377"/>
        <w:gridCol w:w="1377"/>
        <w:gridCol w:w="1377"/>
        <w:gridCol w:w="1377"/>
      </w:tblGrid>
      <w:tr w:rsidR="00AB416B" w:rsidRPr="003C12B1" w14:paraId="0DC1C87A" w14:textId="77777777" w:rsidTr="005B0E31">
        <w:trPr>
          <w:trHeight w:val="315"/>
        </w:trPr>
        <w:tc>
          <w:tcPr>
            <w:tcW w:w="2140" w:type="dxa"/>
            <w:gridSpan w:val="2"/>
            <w:tcBorders>
              <w:top w:val="nil"/>
              <w:left w:val="nil"/>
              <w:bottom w:val="nil"/>
              <w:right w:val="nil"/>
            </w:tcBorders>
            <w:shd w:val="clear" w:color="auto" w:fill="auto"/>
            <w:noWrap/>
            <w:vAlign w:val="bottom"/>
            <w:hideMark/>
          </w:tcPr>
          <w:p w14:paraId="6FC4B045"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2015 21 GABON</w:t>
            </w:r>
          </w:p>
        </w:tc>
        <w:tc>
          <w:tcPr>
            <w:tcW w:w="1200" w:type="dxa"/>
            <w:tcBorders>
              <w:top w:val="nil"/>
              <w:left w:val="nil"/>
              <w:bottom w:val="nil"/>
              <w:right w:val="nil"/>
            </w:tcBorders>
            <w:shd w:val="clear" w:color="auto" w:fill="auto"/>
            <w:noWrap/>
            <w:vAlign w:val="bottom"/>
            <w:hideMark/>
          </w:tcPr>
          <w:p w14:paraId="67AB2C5E" w14:textId="77777777" w:rsidR="00AB416B" w:rsidRPr="003C12B1" w:rsidRDefault="00AB416B"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2CD2022B" w14:textId="77777777" w:rsidR="00AB416B" w:rsidRPr="003C12B1" w:rsidRDefault="00AB416B"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0FA9F44E" w14:textId="77777777" w:rsidR="00AB416B" w:rsidRPr="003C12B1" w:rsidRDefault="00AB416B"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060E0F29" w14:textId="77777777" w:rsidR="00AB416B" w:rsidRPr="003C12B1" w:rsidRDefault="00AB416B" w:rsidP="005B0E31">
            <w:pPr>
              <w:suppressAutoHyphens w:val="0"/>
              <w:autoSpaceDN/>
              <w:spacing w:after="0"/>
              <w:textAlignment w:val="auto"/>
              <w:rPr>
                <w:rFonts w:ascii="Calibri"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14:paraId="64683B8F" w14:textId="77777777" w:rsidR="00AB416B" w:rsidRPr="003C12B1" w:rsidRDefault="00AB416B" w:rsidP="005B0E31">
            <w:pPr>
              <w:suppressAutoHyphens w:val="0"/>
              <w:autoSpaceDN/>
              <w:spacing w:after="0"/>
              <w:textAlignment w:val="auto"/>
              <w:rPr>
                <w:rFonts w:ascii="Calibri" w:hAnsi="Calibri"/>
                <w:color w:val="000000"/>
                <w:sz w:val="22"/>
                <w:szCs w:val="22"/>
                <w:lang w:eastAsia="fr-FR"/>
              </w:rPr>
            </w:pPr>
          </w:p>
        </w:tc>
      </w:tr>
      <w:tr w:rsidR="00AB416B" w:rsidRPr="003C12B1" w14:paraId="7EF701BF" w14:textId="77777777" w:rsidTr="005B0E31">
        <w:trPr>
          <w:trHeight w:val="615"/>
        </w:trPr>
        <w:tc>
          <w:tcPr>
            <w:tcW w:w="9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E349688"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Activity</w:t>
            </w:r>
          </w:p>
        </w:tc>
        <w:tc>
          <w:tcPr>
            <w:tcW w:w="1200" w:type="dxa"/>
            <w:tcBorders>
              <w:top w:val="single" w:sz="8" w:space="0" w:color="000000"/>
              <w:left w:val="nil"/>
              <w:bottom w:val="single" w:sz="8" w:space="0" w:color="000000"/>
              <w:right w:val="nil"/>
            </w:tcBorders>
            <w:shd w:val="clear" w:color="D9D9D9" w:fill="D9D9D9"/>
            <w:vAlign w:val="center"/>
            <w:hideMark/>
          </w:tcPr>
          <w:p w14:paraId="227FD1AD"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Duration</w:t>
            </w:r>
          </w:p>
        </w:tc>
        <w:tc>
          <w:tcPr>
            <w:tcW w:w="1200" w:type="dxa"/>
            <w:tcBorders>
              <w:top w:val="single" w:sz="8" w:space="0" w:color="000000"/>
              <w:left w:val="nil"/>
              <w:bottom w:val="single" w:sz="8" w:space="0" w:color="000000"/>
              <w:right w:val="nil"/>
            </w:tcBorders>
            <w:shd w:val="clear" w:color="D9D9D9" w:fill="D9D9D9"/>
            <w:vAlign w:val="center"/>
            <w:hideMark/>
          </w:tcPr>
          <w:p w14:paraId="1C9B8D67"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nil"/>
            </w:tcBorders>
            <w:shd w:val="clear" w:color="D9D9D9" w:fill="D9D9D9"/>
            <w:vAlign w:val="center"/>
            <w:hideMark/>
          </w:tcPr>
          <w:p w14:paraId="168C5AB3"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nil"/>
            </w:tcBorders>
            <w:shd w:val="clear" w:color="D9D9D9" w:fill="D9D9D9"/>
            <w:vAlign w:val="center"/>
            <w:hideMark/>
          </w:tcPr>
          <w:p w14:paraId="218033EF"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nil"/>
            </w:tcBorders>
            <w:shd w:val="clear" w:color="D9D9D9" w:fill="D9D9D9"/>
            <w:vAlign w:val="center"/>
            <w:hideMark/>
          </w:tcPr>
          <w:p w14:paraId="4E55266C"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c>
          <w:tcPr>
            <w:tcW w:w="1200" w:type="dxa"/>
            <w:tcBorders>
              <w:top w:val="single" w:sz="8" w:space="0" w:color="000000"/>
              <w:left w:val="nil"/>
              <w:bottom w:val="single" w:sz="8" w:space="0" w:color="000000"/>
              <w:right w:val="single" w:sz="8" w:space="0" w:color="000000"/>
            </w:tcBorders>
            <w:shd w:val="clear" w:color="D9D9D9" w:fill="D9D9D9"/>
            <w:vAlign w:val="center"/>
            <w:hideMark/>
          </w:tcPr>
          <w:p w14:paraId="33AFEBD4"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 </w:t>
            </w:r>
          </w:p>
        </w:tc>
      </w:tr>
      <w:tr w:rsidR="00AB416B" w:rsidRPr="003C12B1" w14:paraId="6D4A5FE4" w14:textId="77777777" w:rsidTr="005B0E31">
        <w:trPr>
          <w:trHeight w:val="315"/>
        </w:trPr>
        <w:tc>
          <w:tcPr>
            <w:tcW w:w="940" w:type="dxa"/>
            <w:vMerge w:val="restart"/>
            <w:tcBorders>
              <w:top w:val="nil"/>
              <w:left w:val="single" w:sz="8" w:space="0" w:color="000000"/>
              <w:bottom w:val="single" w:sz="8" w:space="0" w:color="000000"/>
              <w:right w:val="single" w:sz="8" w:space="0" w:color="000000"/>
            </w:tcBorders>
            <w:shd w:val="clear" w:color="BFBFBF" w:fill="BFBFBF"/>
            <w:vAlign w:val="center"/>
            <w:hideMark/>
          </w:tcPr>
          <w:p w14:paraId="650B0581"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Activity 3</w:t>
            </w:r>
          </w:p>
        </w:tc>
        <w:tc>
          <w:tcPr>
            <w:tcW w:w="1200" w:type="dxa"/>
            <w:tcBorders>
              <w:top w:val="nil"/>
              <w:left w:val="nil"/>
              <w:bottom w:val="single" w:sz="8" w:space="0" w:color="000000"/>
              <w:right w:val="nil"/>
            </w:tcBorders>
            <w:shd w:val="clear" w:color="auto" w:fill="auto"/>
            <w:noWrap/>
            <w:vAlign w:val="center"/>
            <w:hideMark/>
          </w:tcPr>
          <w:p w14:paraId="72DF0F49" w14:textId="77777777" w:rsidR="00AB416B" w:rsidRPr="003C12B1" w:rsidRDefault="00AB416B" w:rsidP="005B0E31">
            <w:pPr>
              <w:suppressAutoHyphens w:val="0"/>
              <w:autoSpaceDN/>
              <w:spacing w:after="0"/>
              <w:textAlignment w:val="auto"/>
              <w:rPr>
                <w:rFonts w:ascii="Calibri" w:hAnsi="Calibri"/>
                <w:color w:val="000000"/>
                <w:sz w:val="20"/>
                <w:lang w:eastAsia="fr-FR"/>
              </w:rPr>
            </w:pPr>
            <w:r w:rsidRPr="003C12B1">
              <w:rPr>
                <w:rFonts w:ascii="Calibri" w:hAnsi="Calibri"/>
                <w:color w:val="000000"/>
                <w:sz w:val="20"/>
                <w:lang w:eastAsia="fr-FR"/>
              </w:rPr>
              <w:t> </w:t>
            </w:r>
          </w:p>
        </w:tc>
        <w:tc>
          <w:tcPr>
            <w:tcW w:w="1200" w:type="dxa"/>
            <w:tcBorders>
              <w:top w:val="nil"/>
              <w:left w:val="nil"/>
              <w:bottom w:val="single" w:sz="8" w:space="0" w:color="000000"/>
              <w:right w:val="nil"/>
            </w:tcBorders>
            <w:shd w:val="clear" w:color="auto" w:fill="auto"/>
            <w:noWrap/>
            <w:vAlign w:val="center"/>
            <w:hideMark/>
          </w:tcPr>
          <w:p w14:paraId="725A5329" w14:textId="77777777" w:rsidR="00AB416B" w:rsidRPr="003C12B1" w:rsidRDefault="00AB416B" w:rsidP="005B0E31">
            <w:pPr>
              <w:suppressAutoHyphens w:val="0"/>
              <w:autoSpaceDN/>
              <w:spacing w:after="0"/>
              <w:jc w:val="center"/>
              <w:textAlignment w:val="auto"/>
              <w:rPr>
                <w:rFonts w:ascii="Calibri" w:hAnsi="Calibri"/>
                <w:b/>
                <w:bCs/>
                <w:color w:val="000000"/>
                <w:sz w:val="20"/>
                <w:lang w:eastAsia="fr-FR"/>
              </w:rPr>
            </w:pPr>
            <w:proofErr w:type="spellStart"/>
            <w:r w:rsidRPr="003C12B1">
              <w:rPr>
                <w:rFonts w:ascii="Calibri" w:hAnsi="Calibri"/>
                <w:b/>
                <w:bCs/>
                <w:color w:val="000000"/>
                <w:sz w:val="20"/>
                <w:lang w:eastAsia="fr-FR"/>
              </w:rPr>
              <w:t>Preparation</w:t>
            </w:r>
            <w:proofErr w:type="spellEnd"/>
          </w:p>
        </w:tc>
        <w:tc>
          <w:tcPr>
            <w:tcW w:w="1200" w:type="dxa"/>
            <w:tcBorders>
              <w:top w:val="nil"/>
              <w:left w:val="nil"/>
              <w:bottom w:val="single" w:sz="8" w:space="0" w:color="000000"/>
              <w:right w:val="nil"/>
            </w:tcBorders>
            <w:shd w:val="clear" w:color="auto" w:fill="auto"/>
            <w:noWrap/>
            <w:vAlign w:val="center"/>
            <w:hideMark/>
          </w:tcPr>
          <w:p w14:paraId="0E353E9D" w14:textId="77777777" w:rsidR="00AB416B" w:rsidRPr="003C12B1" w:rsidRDefault="00AB416B" w:rsidP="005B0E31">
            <w:pPr>
              <w:suppressAutoHyphens w:val="0"/>
              <w:autoSpaceDN/>
              <w:spacing w:after="0"/>
              <w:jc w:val="center"/>
              <w:textAlignment w:val="auto"/>
              <w:rPr>
                <w:rFonts w:ascii="Calibri" w:hAnsi="Calibri"/>
                <w:b/>
                <w:bCs/>
                <w:color w:val="000000"/>
                <w:sz w:val="20"/>
                <w:lang w:eastAsia="fr-FR"/>
              </w:rPr>
            </w:pPr>
            <w:r w:rsidRPr="003C12B1">
              <w:rPr>
                <w:rFonts w:ascii="Calibri" w:hAnsi="Calibri"/>
                <w:b/>
                <w:bCs/>
                <w:color w:val="000000"/>
                <w:sz w:val="20"/>
                <w:lang w:eastAsia="fr-FR"/>
              </w:rPr>
              <w:t>On-site</w:t>
            </w:r>
          </w:p>
        </w:tc>
        <w:tc>
          <w:tcPr>
            <w:tcW w:w="1200" w:type="dxa"/>
            <w:tcBorders>
              <w:top w:val="nil"/>
              <w:left w:val="nil"/>
              <w:bottom w:val="single" w:sz="8" w:space="0" w:color="000000"/>
              <w:right w:val="nil"/>
            </w:tcBorders>
            <w:shd w:val="clear" w:color="auto" w:fill="auto"/>
            <w:noWrap/>
            <w:vAlign w:val="center"/>
            <w:hideMark/>
          </w:tcPr>
          <w:p w14:paraId="2BAFC41C" w14:textId="77777777" w:rsidR="00AB416B" w:rsidRPr="003C12B1" w:rsidRDefault="00AB416B" w:rsidP="005B0E31">
            <w:pPr>
              <w:suppressAutoHyphens w:val="0"/>
              <w:autoSpaceDN/>
              <w:spacing w:after="0"/>
              <w:jc w:val="center"/>
              <w:textAlignment w:val="auto"/>
              <w:rPr>
                <w:rFonts w:ascii="Calibri" w:hAnsi="Calibri"/>
                <w:b/>
                <w:bCs/>
                <w:color w:val="000000"/>
                <w:sz w:val="20"/>
                <w:lang w:eastAsia="fr-FR"/>
              </w:rPr>
            </w:pPr>
            <w:proofErr w:type="spellStart"/>
            <w:r w:rsidRPr="003C12B1">
              <w:rPr>
                <w:rFonts w:ascii="Calibri" w:hAnsi="Calibri"/>
                <w:b/>
                <w:bCs/>
                <w:color w:val="000000"/>
                <w:sz w:val="20"/>
                <w:lang w:eastAsia="fr-FR"/>
              </w:rPr>
              <w:t>Travel</w:t>
            </w:r>
            <w:proofErr w:type="spellEnd"/>
          </w:p>
        </w:tc>
        <w:tc>
          <w:tcPr>
            <w:tcW w:w="1200" w:type="dxa"/>
            <w:tcBorders>
              <w:top w:val="nil"/>
              <w:left w:val="nil"/>
              <w:bottom w:val="single" w:sz="8" w:space="0" w:color="000000"/>
              <w:right w:val="nil"/>
            </w:tcBorders>
            <w:shd w:val="clear" w:color="auto" w:fill="auto"/>
            <w:noWrap/>
            <w:vAlign w:val="center"/>
            <w:hideMark/>
          </w:tcPr>
          <w:p w14:paraId="11032D0F" w14:textId="77777777" w:rsidR="00AB416B" w:rsidRPr="003C12B1" w:rsidRDefault="00AB416B" w:rsidP="005B0E31">
            <w:pPr>
              <w:suppressAutoHyphens w:val="0"/>
              <w:autoSpaceDN/>
              <w:spacing w:after="0"/>
              <w:jc w:val="center"/>
              <w:textAlignment w:val="auto"/>
              <w:rPr>
                <w:rFonts w:ascii="Calibri" w:hAnsi="Calibri"/>
                <w:b/>
                <w:bCs/>
                <w:color w:val="000000"/>
                <w:sz w:val="20"/>
                <w:lang w:eastAsia="fr-FR"/>
              </w:rPr>
            </w:pPr>
            <w:proofErr w:type="spellStart"/>
            <w:r w:rsidRPr="003C12B1">
              <w:rPr>
                <w:rFonts w:ascii="Calibri" w:hAnsi="Calibri"/>
                <w:b/>
                <w:bCs/>
                <w:color w:val="000000"/>
                <w:sz w:val="20"/>
                <w:lang w:eastAsia="fr-FR"/>
              </w:rPr>
              <w:t>Reporting</w:t>
            </w:r>
            <w:proofErr w:type="spellEnd"/>
          </w:p>
        </w:tc>
        <w:tc>
          <w:tcPr>
            <w:tcW w:w="1200" w:type="dxa"/>
            <w:tcBorders>
              <w:top w:val="nil"/>
              <w:left w:val="nil"/>
              <w:bottom w:val="single" w:sz="8" w:space="0" w:color="000000"/>
              <w:right w:val="single" w:sz="8" w:space="0" w:color="000000"/>
            </w:tcBorders>
            <w:shd w:val="clear" w:color="auto" w:fill="auto"/>
            <w:noWrap/>
            <w:vAlign w:val="center"/>
            <w:hideMark/>
          </w:tcPr>
          <w:p w14:paraId="41E4457B" w14:textId="77777777" w:rsidR="00AB416B" w:rsidRPr="003C12B1" w:rsidRDefault="00AB416B" w:rsidP="005B0E31">
            <w:pPr>
              <w:suppressAutoHyphens w:val="0"/>
              <w:autoSpaceDN/>
              <w:spacing w:after="0"/>
              <w:jc w:val="center"/>
              <w:textAlignment w:val="auto"/>
              <w:rPr>
                <w:rFonts w:ascii="Calibri" w:hAnsi="Calibri"/>
                <w:b/>
                <w:bCs/>
                <w:color w:val="000000"/>
                <w:sz w:val="20"/>
                <w:lang w:eastAsia="fr-FR"/>
              </w:rPr>
            </w:pPr>
            <w:r w:rsidRPr="003C12B1">
              <w:rPr>
                <w:rFonts w:ascii="Calibri" w:hAnsi="Calibri"/>
                <w:b/>
                <w:bCs/>
                <w:color w:val="000000"/>
                <w:sz w:val="20"/>
                <w:lang w:eastAsia="fr-FR"/>
              </w:rPr>
              <w:t>Total</w:t>
            </w:r>
          </w:p>
        </w:tc>
      </w:tr>
      <w:tr w:rsidR="00AB416B" w:rsidRPr="003C12B1" w14:paraId="50D92ED1" w14:textId="77777777" w:rsidTr="005B0E31">
        <w:trPr>
          <w:trHeight w:val="315"/>
        </w:trPr>
        <w:tc>
          <w:tcPr>
            <w:tcW w:w="940" w:type="dxa"/>
            <w:vMerge/>
            <w:tcBorders>
              <w:top w:val="nil"/>
              <w:left w:val="single" w:sz="8" w:space="0" w:color="000000"/>
              <w:bottom w:val="single" w:sz="8" w:space="0" w:color="000000"/>
              <w:right w:val="single" w:sz="8" w:space="0" w:color="000000"/>
            </w:tcBorders>
            <w:vAlign w:val="center"/>
            <w:hideMark/>
          </w:tcPr>
          <w:p w14:paraId="594D905C" w14:textId="77777777" w:rsidR="00AB416B" w:rsidRPr="003C12B1" w:rsidRDefault="00AB416B" w:rsidP="005B0E31">
            <w:pPr>
              <w:suppressAutoHyphens w:val="0"/>
              <w:autoSpaceDN/>
              <w:spacing w:after="0"/>
              <w:textAlignment w:val="auto"/>
              <w:rPr>
                <w:rFonts w:ascii="Calibri" w:hAnsi="Calibri"/>
                <w:b/>
                <w:bCs/>
                <w:color w:val="000000"/>
                <w:sz w:val="22"/>
                <w:szCs w:val="22"/>
                <w:lang w:eastAsia="fr-FR"/>
              </w:rPr>
            </w:pPr>
          </w:p>
        </w:tc>
        <w:tc>
          <w:tcPr>
            <w:tcW w:w="1200" w:type="dxa"/>
            <w:tcBorders>
              <w:top w:val="nil"/>
              <w:left w:val="nil"/>
              <w:bottom w:val="nil"/>
              <w:right w:val="nil"/>
            </w:tcBorders>
            <w:shd w:val="clear" w:color="auto" w:fill="auto"/>
            <w:noWrap/>
            <w:vAlign w:val="center"/>
            <w:hideMark/>
          </w:tcPr>
          <w:p w14:paraId="0FA7EDDF" w14:textId="77777777" w:rsidR="00AB416B" w:rsidRPr="003C12B1" w:rsidRDefault="00AB416B" w:rsidP="005B0E31">
            <w:pPr>
              <w:suppressAutoHyphens w:val="0"/>
              <w:autoSpaceDN/>
              <w:spacing w:after="0"/>
              <w:textAlignment w:val="auto"/>
              <w:rPr>
                <w:rFonts w:ascii="Calibri" w:hAnsi="Calibri"/>
                <w:color w:val="000000"/>
                <w:sz w:val="22"/>
                <w:szCs w:val="22"/>
                <w:lang w:eastAsia="fr-FR"/>
              </w:rPr>
            </w:pPr>
            <w:r w:rsidRPr="003C12B1">
              <w:rPr>
                <w:rFonts w:ascii="Calibri" w:hAnsi="Calibri"/>
                <w:color w:val="000000"/>
                <w:sz w:val="22"/>
                <w:szCs w:val="22"/>
                <w:lang w:eastAsia="fr-FR"/>
              </w:rPr>
              <w:t>Expert 1</w:t>
            </w:r>
            <w:r>
              <w:rPr>
                <w:rFonts w:ascii="Calibri" w:hAnsi="Calibri"/>
                <w:color w:val="000000"/>
                <w:sz w:val="22"/>
                <w:szCs w:val="22"/>
                <w:lang w:eastAsia="fr-FR"/>
              </w:rPr>
              <w:t xml:space="preserve"> &amp; 2</w:t>
            </w:r>
          </w:p>
        </w:tc>
        <w:tc>
          <w:tcPr>
            <w:tcW w:w="1200" w:type="dxa"/>
            <w:tcBorders>
              <w:top w:val="nil"/>
              <w:left w:val="nil"/>
              <w:bottom w:val="nil"/>
              <w:right w:val="nil"/>
            </w:tcBorders>
            <w:shd w:val="clear" w:color="auto" w:fill="auto"/>
            <w:noWrap/>
            <w:vAlign w:val="center"/>
            <w:hideMark/>
          </w:tcPr>
          <w:p w14:paraId="385D2C53" w14:textId="77777777" w:rsidR="00AB416B" w:rsidRPr="003C12B1" w:rsidRDefault="00AB416B"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3</w:t>
            </w:r>
          </w:p>
        </w:tc>
        <w:tc>
          <w:tcPr>
            <w:tcW w:w="1200" w:type="dxa"/>
            <w:tcBorders>
              <w:top w:val="nil"/>
              <w:left w:val="nil"/>
              <w:bottom w:val="nil"/>
              <w:right w:val="nil"/>
            </w:tcBorders>
            <w:shd w:val="clear" w:color="auto" w:fill="auto"/>
            <w:noWrap/>
            <w:vAlign w:val="center"/>
            <w:hideMark/>
          </w:tcPr>
          <w:p w14:paraId="697A3B59" w14:textId="77777777" w:rsidR="00AB416B" w:rsidRPr="003C12B1" w:rsidRDefault="00AB416B"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5</w:t>
            </w:r>
          </w:p>
        </w:tc>
        <w:tc>
          <w:tcPr>
            <w:tcW w:w="1200" w:type="dxa"/>
            <w:tcBorders>
              <w:top w:val="nil"/>
              <w:left w:val="nil"/>
              <w:bottom w:val="nil"/>
              <w:right w:val="nil"/>
            </w:tcBorders>
            <w:shd w:val="clear" w:color="auto" w:fill="auto"/>
            <w:noWrap/>
            <w:vAlign w:val="center"/>
            <w:hideMark/>
          </w:tcPr>
          <w:p w14:paraId="1143C550" w14:textId="77777777" w:rsidR="00AB416B" w:rsidRPr="003C12B1" w:rsidRDefault="00AB416B"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2</w:t>
            </w:r>
          </w:p>
        </w:tc>
        <w:tc>
          <w:tcPr>
            <w:tcW w:w="1200" w:type="dxa"/>
            <w:tcBorders>
              <w:top w:val="nil"/>
              <w:left w:val="nil"/>
              <w:bottom w:val="nil"/>
              <w:right w:val="nil"/>
            </w:tcBorders>
            <w:shd w:val="clear" w:color="auto" w:fill="auto"/>
            <w:noWrap/>
            <w:vAlign w:val="center"/>
            <w:hideMark/>
          </w:tcPr>
          <w:p w14:paraId="6FF54AD4" w14:textId="77777777" w:rsidR="00AB416B" w:rsidRPr="003C12B1" w:rsidRDefault="00AB416B" w:rsidP="005B0E31">
            <w:pPr>
              <w:suppressAutoHyphens w:val="0"/>
              <w:autoSpaceDN/>
              <w:spacing w:after="0"/>
              <w:jc w:val="center"/>
              <w:textAlignment w:val="auto"/>
              <w:rPr>
                <w:rFonts w:ascii="Calibri" w:hAnsi="Calibri"/>
                <w:color w:val="000000"/>
                <w:sz w:val="22"/>
                <w:szCs w:val="22"/>
                <w:lang w:eastAsia="fr-FR"/>
              </w:rPr>
            </w:pPr>
            <w:r w:rsidRPr="003C12B1">
              <w:rPr>
                <w:rFonts w:ascii="Calibri" w:hAnsi="Calibri"/>
                <w:color w:val="000000"/>
                <w:sz w:val="22"/>
                <w:szCs w:val="22"/>
                <w:lang w:eastAsia="fr-FR"/>
              </w:rPr>
              <w:t>3</w:t>
            </w:r>
          </w:p>
        </w:tc>
        <w:tc>
          <w:tcPr>
            <w:tcW w:w="1200" w:type="dxa"/>
            <w:tcBorders>
              <w:top w:val="nil"/>
              <w:left w:val="nil"/>
              <w:bottom w:val="nil"/>
              <w:right w:val="single" w:sz="8" w:space="0" w:color="000000"/>
            </w:tcBorders>
            <w:shd w:val="clear" w:color="000000" w:fill="8DB4E2"/>
            <w:noWrap/>
            <w:vAlign w:val="center"/>
            <w:hideMark/>
          </w:tcPr>
          <w:p w14:paraId="30448CC5" w14:textId="77777777" w:rsidR="00AB416B" w:rsidRPr="003C12B1" w:rsidRDefault="00AB416B" w:rsidP="005B0E31">
            <w:pPr>
              <w:suppressAutoHyphens w:val="0"/>
              <w:autoSpaceDN/>
              <w:spacing w:after="0"/>
              <w:jc w:val="right"/>
              <w:textAlignment w:val="auto"/>
              <w:rPr>
                <w:rFonts w:ascii="Calibri" w:hAnsi="Calibri"/>
                <w:b/>
                <w:bCs/>
                <w:color w:val="000000"/>
                <w:sz w:val="22"/>
                <w:szCs w:val="22"/>
                <w:lang w:eastAsia="fr-FR"/>
              </w:rPr>
            </w:pPr>
            <w:r w:rsidRPr="003C12B1">
              <w:rPr>
                <w:rFonts w:ascii="Calibri" w:hAnsi="Calibri"/>
                <w:b/>
                <w:bCs/>
                <w:color w:val="000000"/>
                <w:sz w:val="22"/>
                <w:szCs w:val="22"/>
                <w:lang w:eastAsia="fr-FR"/>
              </w:rPr>
              <w:t>13</w:t>
            </w:r>
          </w:p>
        </w:tc>
      </w:tr>
    </w:tbl>
    <w:p w14:paraId="36E5EC2E" w14:textId="77777777" w:rsidR="00AB416B" w:rsidRPr="008645C0" w:rsidRDefault="00AB416B" w:rsidP="00AB416B">
      <w:pPr>
        <w:spacing w:after="240"/>
        <w:jc w:val="both"/>
        <w:rPr>
          <w:i/>
          <w:color w:val="000000" w:themeColor="text1"/>
          <w:sz w:val="22"/>
          <w:szCs w:val="22"/>
        </w:rPr>
      </w:pPr>
    </w:p>
    <w:p w14:paraId="43A20622" w14:textId="77777777" w:rsidR="00E76C97" w:rsidRPr="008645C0" w:rsidRDefault="00E76C97" w:rsidP="00E00F2A">
      <w:pPr>
        <w:spacing w:after="240"/>
        <w:jc w:val="both"/>
        <w:rPr>
          <w:i/>
          <w:color w:val="000000" w:themeColor="text1"/>
          <w:sz w:val="22"/>
          <w:szCs w:val="22"/>
        </w:rPr>
      </w:pPr>
    </w:p>
    <w:p w14:paraId="32646423" w14:textId="18886E36" w:rsidR="003A55B0" w:rsidRPr="008247C2" w:rsidRDefault="009541D1" w:rsidP="00E00F2A">
      <w:pPr>
        <w:pStyle w:val="Titre3"/>
        <w:spacing w:after="240"/>
        <w:jc w:val="both"/>
      </w:pPr>
      <w:r w:rsidRPr="008247C2">
        <w:t>Tâches</w:t>
      </w:r>
    </w:p>
    <w:p w14:paraId="6C569596" w14:textId="77777777" w:rsidR="005B6792" w:rsidRPr="005B6792" w:rsidRDefault="005B6792" w:rsidP="005B6792">
      <w:pPr>
        <w:spacing w:after="240"/>
        <w:rPr>
          <w:sz w:val="22"/>
          <w:szCs w:val="22"/>
          <w:lang w:val="fr-BE"/>
        </w:rPr>
      </w:pPr>
      <w:r w:rsidRPr="005B6792">
        <w:rPr>
          <w:sz w:val="22"/>
          <w:szCs w:val="22"/>
          <w:lang w:val="fr-BE"/>
        </w:rPr>
        <w:t>Au minimum, les taches menées par les experts consistent en :</w:t>
      </w:r>
    </w:p>
    <w:p w14:paraId="00E8D304" w14:textId="77777777" w:rsidR="00C04EBF" w:rsidRPr="005B6792" w:rsidRDefault="00C04EBF" w:rsidP="00C04EBF">
      <w:pPr>
        <w:pStyle w:val="Paragraphedeliste"/>
        <w:numPr>
          <w:ilvl w:val="0"/>
          <w:numId w:val="32"/>
        </w:numPr>
        <w:spacing w:after="240"/>
        <w:contextualSpacing w:val="0"/>
        <w:rPr>
          <w:sz w:val="22"/>
          <w:szCs w:val="22"/>
          <w:lang w:val="fr-BE"/>
        </w:rPr>
      </w:pPr>
      <w:r w:rsidRPr="005B6792">
        <w:rPr>
          <w:sz w:val="22"/>
          <w:szCs w:val="22"/>
          <w:lang w:val="fr-BE"/>
        </w:rPr>
        <w:t>Analyse des opérations du FNAS</w:t>
      </w:r>
    </w:p>
    <w:p w14:paraId="7EF3E77D" w14:textId="77777777" w:rsidR="00C04EBF" w:rsidRPr="005B6792" w:rsidRDefault="00C04EBF" w:rsidP="00C04EBF">
      <w:pPr>
        <w:pStyle w:val="Paragraphedeliste"/>
        <w:numPr>
          <w:ilvl w:val="0"/>
          <w:numId w:val="32"/>
        </w:numPr>
        <w:spacing w:after="240"/>
        <w:contextualSpacing w:val="0"/>
        <w:rPr>
          <w:sz w:val="22"/>
          <w:szCs w:val="22"/>
          <w:lang w:val="fr-BE"/>
        </w:rPr>
      </w:pPr>
      <w:r w:rsidRPr="005B6792">
        <w:rPr>
          <w:sz w:val="22"/>
          <w:szCs w:val="22"/>
          <w:lang w:val="fr-BE"/>
        </w:rPr>
        <w:t>Analyse du portefeuille de projets financés par le FNAS</w:t>
      </w:r>
    </w:p>
    <w:p w14:paraId="6E049899" w14:textId="77777777" w:rsidR="00C04EBF" w:rsidRPr="005B6792" w:rsidRDefault="00C04EBF" w:rsidP="00C04EBF">
      <w:pPr>
        <w:pStyle w:val="Paragraphedeliste"/>
        <w:numPr>
          <w:ilvl w:val="0"/>
          <w:numId w:val="32"/>
        </w:numPr>
        <w:spacing w:after="240"/>
        <w:contextualSpacing w:val="0"/>
        <w:rPr>
          <w:sz w:val="22"/>
          <w:szCs w:val="22"/>
          <w:lang w:val="fr-BE"/>
        </w:rPr>
      </w:pPr>
      <w:r w:rsidRPr="005B6792">
        <w:rPr>
          <w:sz w:val="22"/>
          <w:szCs w:val="22"/>
          <w:lang w:val="fr-BE"/>
        </w:rPr>
        <w:t xml:space="preserve">Ingénierie des phases et composantes du système de suivi-évaluation (benchmark, </w:t>
      </w:r>
      <w:r>
        <w:rPr>
          <w:sz w:val="22"/>
          <w:szCs w:val="22"/>
          <w:lang w:val="fr-BE"/>
        </w:rPr>
        <w:t>mesures</w:t>
      </w:r>
      <w:r w:rsidRPr="005B6792">
        <w:rPr>
          <w:sz w:val="22"/>
          <w:szCs w:val="22"/>
          <w:lang w:val="fr-BE"/>
        </w:rPr>
        <w:t>, collecte des données, calendrier de suivi, responsabilités,</w:t>
      </w:r>
      <w:r>
        <w:rPr>
          <w:sz w:val="22"/>
          <w:szCs w:val="22"/>
          <w:lang w:val="fr-BE"/>
        </w:rPr>
        <w:t xml:space="preserve"> impacts et suivis physico/financiers</w:t>
      </w:r>
      <w:r w:rsidRPr="005B6792">
        <w:rPr>
          <w:sz w:val="22"/>
          <w:szCs w:val="22"/>
          <w:lang w:val="fr-BE"/>
        </w:rPr>
        <w:t xml:space="preserve"> …)  </w:t>
      </w:r>
    </w:p>
    <w:p w14:paraId="415F2A6E" w14:textId="77777777" w:rsidR="00C04EBF" w:rsidRPr="005B6792" w:rsidRDefault="00C04EBF" w:rsidP="00C04EBF">
      <w:pPr>
        <w:pStyle w:val="Paragraphedeliste"/>
        <w:numPr>
          <w:ilvl w:val="0"/>
          <w:numId w:val="32"/>
        </w:numPr>
        <w:spacing w:after="240"/>
        <w:contextualSpacing w:val="0"/>
        <w:rPr>
          <w:sz w:val="22"/>
          <w:szCs w:val="22"/>
          <w:lang w:val="fr-BE"/>
        </w:rPr>
      </w:pPr>
      <w:r w:rsidRPr="005B6792">
        <w:rPr>
          <w:sz w:val="22"/>
          <w:szCs w:val="22"/>
          <w:lang w:val="fr-BE"/>
        </w:rPr>
        <w:t>Mise en place d’indicateurs de suivi cohérents avec l’activité du FNAS</w:t>
      </w:r>
    </w:p>
    <w:p w14:paraId="7AEB99BF" w14:textId="77777777" w:rsidR="00C04EBF" w:rsidRPr="005B6792" w:rsidRDefault="00C04EBF" w:rsidP="00C04EBF">
      <w:pPr>
        <w:pStyle w:val="Paragraphedeliste"/>
        <w:numPr>
          <w:ilvl w:val="0"/>
          <w:numId w:val="32"/>
        </w:numPr>
        <w:spacing w:after="240"/>
        <w:contextualSpacing w:val="0"/>
        <w:rPr>
          <w:sz w:val="22"/>
          <w:szCs w:val="22"/>
          <w:lang w:val="fr-BE"/>
        </w:rPr>
      </w:pPr>
      <w:r w:rsidRPr="005B6792">
        <w:rPr>
          <w:sz w:val="22"/>
          <w:szCs w:val="22"/>
          <w:lang w:val="fr-BE"/>
        </w:rPr>
        <w:t>La formalisation</w:t>
      </w:r>
      <w:r>
        <w:rPr>
          <w:sz w:val="22"/>
          <w:szCs w:val="22"/>
          <w:lang w:val="fr-BE"/>
        </w:rPr>
        <w:t xml:space="preserve"> et la validation par le FNAS</w:t>
      </w:r>
      <w:r w:rsidRPr="005B6792">
        <w:rPr>
          <w:sz w:val="22"/>
          <w:szCs w:val="22"/>
          <w:lang w:val="fr-BE"/>
        </w:rPr>
        <w:t xml:space="preserve"> du cadre logique pour Suivi &amp; Evaluation </w:t>
      </w:r>
      <w:r>
        <w:rPr>
          <w:sz w:val="22"/>
          <w:szCs w:val="22"/>
          <w:lang w:val="fr-BE"/>
        </w:rPr>
        <w:t>de ses activités</w:t>
      </w:r>
    </w:p>
    <w:p w14:paraId="39D22DAE" w14:textId="77777777" w:rsidR="00E76C97" w:rsidRPr="005B6792" w:rsidRDefault="00E76C97" w:rsidP="00E76C97">
      <w:pPr>
        <w:pStyle w:val="Paragraphedeliste"/>
        <w:spacing w:after="240"/>
        <w:ind w:left="720"/>
        <w:contextualSpacing w:val="0"/>
        <w:rPr>
          <w:noProof/>
          <w:sz w:val="22"/>
          <w:szCs w:val="22"/>
          <w:lang w:val="fr-BE"/>
        </w:rPr>
      </w:pPr>
    </w:p>
    <w:p w14:paraId="562E7960" w14:textId="77777777" w:rsidR="005B6792" w:rsidRPr="008645C0" w:rsidRDefault="005B6792" w:rsidP="008645C0">
      <w:pPr>
        <w:suppressAutoHyphens w:val="0"/>
        <w:autoSpaceDE w:val="0"/>
        <w:adjustRightInd w:val="0"/>
        <w:spacing w:after="36"/>
        <w:jc w:val="both"/>
        <w:textAlignment w:val="auto"/>
        <w:rPr>
          <w:rFonts w:eastAsiaTheme="minorHAnsi" w:cs="Verdana"/>
          <w:color w:val="000000"/>
        </w:rPr>
      </w:pPr>
    </w:p>
    <w:p w14:paraId="6ACFD326" w14:textId="77777777" w:rsidR="0036723F" w:rsidRPr="008247C2" w:rsidRDefault="0036723F" w:rsidP="00E00F2A">
      <w:pPr>
        <w:suppressAutoHyphens w:val="0"/>
        <w:autoSpaceDE w:val="0"/>
        <w:adjustRightInd w:val="0"/>
        <w:spacing w:after="36"/>
        <w:jc w:val="both"/>
        <w:textAlignment w:val="auto"/>
        <w:rPr>
          <w:rFonts w:eastAsiaTheme="minorHAnsi" w:cs="Verdana"/>
          <w:color w:val="000000"/>
        </w:rPr>
      </w:pPr>
    </w:p>
    <w:p w14:paraId="7F10135E" w14:textId="6AF8F7B0" w:rsidR="003A55B0" w:rsidRDefault="009541D1" w:rsidP="00E00F2A">
      <w:pPr>
        <w:pStyle w:val="Titre3"/>
        <w:jc w:val="both"/>
      </w:pPr>
      <w:r w:rsidRPr="008247C2">
        <w:t>Livrables</w:t>
      </w:r>
    </w:p>
    <w:p w14:paraId="7EF20778" w14:textId="77777777" w:rsidR="005B6792" w:rsidRPr="005B6792" w:rsidRDefault="005B6792" w:rsidP="005B6792"/>
    <w:p w14:paraId="5E154AE1" w14:textId="77777777" w:rsidR="00C04EBF" w:rsidRPr="002532E2" w:rsidRDefault="00C04EBF" w:rsidP="00C04EBF">
      <w:pPr>
        <w:tabs>
          <w:tab w:val="left" w:pos="885"/>
        </w:tabs>
        <w:ind w:left="360"/>
        <w:jc w:val="both"/>
        <w:rPr>
          <w:rFonts w:cs="Arial"/>
          <w:sz w:val="22"/>
          <w:szCs w:val="22"/>
        </w:rPr>
      </w:pPr>
      <w:r w:rsidRPr="005B6792">
        <w:rPr>
          <w:sz w:val="22"/>
          <w:szCs w:val="22"/>
        </w:rPr>
        <w:t xml:space="preserve">Un </w:t>
      </w:r>
      <w:r w:rsidRPr="005B6792">
        <w:rPr>
          <w:b/>
          <w:sz w:val="22"/>
          <w:szCs w:val="22"/>
        </w:rPr>
        <w:t>Cadre logique pour le suivi-évaluation</w:t>
      </w:r>
      <w:r w:rsidRPr="005B6792">
        <w:rPr>
          <w:sz w:val="22"/>
          <w:szCs w:val="22"/>
        </w:rPr>
        <w:t xml:space="preserve"> de l’activité de micro-</w:t>
      </w:r>
      <w:r>
        <w:rPr>
          <w:sz w:val="22"/>
          <w:szCs w:val="22"/>
        </w:rPr>
        <w:t>crédit et le suivi des projets</w:t>
      </w:r>
      <w:r w:rsidRPr="005B6792">
        <w:rPr>
          <w:sz w:val="22"/>
          <w:szCs w:val="22"/>
        </w:rPr>
        <w:t>. Il doit aborder certains éléments primordiaux, tels que : l’analyse du contexte du projet (analyse économique et sociale), l’analyse des parties prenantes, l’analyse des problèmes et des risques, la formulation d’objectifs et de leurs conditions préalables, la planification d’activités, la planification des ressources</w:t>
      </w:r>
      <w:r>
        <w:rPr>
          <w:sz w:val="22"/>
          <w:szCs w:val="22"/>
        </w:rPr>
        <w:t xml:space="preserve"> humaines et financières</w:t>
      </w:r>
      <w:r w:rsidRPr="005B6792">
        <w:rPr>
          <w:sz w:val="22"/>
          <w:szCs w:val="22"/>
        </w:rPr>
        <w:t>, les indicateurs de suivi, le cycle du crédit</w:t>
      </w:r>
      <w:r>
        <w:rPr>
          <w:sz w:val="22"/>
          <w:szCs w:val="22"/>
        </w:rPr>
        <w:t>,</w:t>
      </w:r>
      <w:r w:rsidRPr="005B6792">
        <w:rPr>
          <w:sz w:val="22"/>
          <w:szCs w:val="22"/>
        </w:rPr>
        <w:t xml:space="preserve"> la gestion des incidents</w:t>
      </w:r>
      <w:r>
        <w:rPr>
          <w:rFonts w:cs="Arial"/>
          <w:sz w:val="22"/>
          <w:szCs w:val="22"/>
        </w:rPr>
        <w:t>.</w:t>
      </w:r>
    </w:p>
    <w:p w14:paraId="7711455A" w14:textId="77777777" w:rsidR="008645C0" w:rsidRDefault="008645C0" w:rsidP="002532E2">
      <w:pPr>
        <w:tabs>
          <w:tab w:val="left" w:pos="885"/>
        </w:tabs>
        <w:jc w:val="both"/>
        <w:rPr>
          <w:rFonts w:cs="Arial"/>
          <w:i/>
        </w:rPr>
      </w:pPr>
    </w:p>
    <w:p w14:paraId="09372822" w14:textId="77777777" w:rsidR="009B0787" w:rsidRDefault="009B0787" w:rsidP="002532E2">
      <w:pPr>
        <w:tabs>
          <w:tab w:val="left" w:pos="885"/>
        </w:tabs>
        <w:jc w:val="both"/>
        <w:rPr>
          <w:rFonts w:cs="Arial"/>
          <w:i/>
        </w:rPr>
      </w:pPr>
    </w:p>
    <w:p w14:paraId="35EEFBB6" w14:textId="77777777" w:rsidR="00E60141" w:rsidRDefault="00E60141" w:rsidP="002532E2">
      <w:pPr>
        <w:tabs>
          <w:tab w:val="left" w:pos="885"/>
        </w:tabs>
        <w:jc w:val="both"/>
        <w:rPr>
          <w:rFonts w:cs="Arial"/>
          <w:i/>
        </w:rPr>
      </w:pPr>
    </w:p>
    <w:p w14:paraId="18BD90C8" w14:textId="77777777" w:rsidR="002532E2" w:rsidRPr="00B272E1" w:rsidRDefault="002532E2" w:rsidP="002532E2">
      <w:pPr>
        <w:tabs>
          <w:tab w:val="left" w:pos="885"/>
        </w:tabs>
        <w:jc w:val="both"/>
        <w:rPr>
          <w:rFonts w:cs="Arial"/>
          <w:i/>
        </w:rPr>
      </w:pPr>
    </w:p>
    <w:p w14:paraId="778CF933" w14:textId="610B65B0" w:rsidR="00F178C8" w:rsidRPr="008247C2" w:rsidRDefault="00B272E1" w:rsidP="00652B37">
      <w:pPr>
        <w:pStyle w:val="Titre1"/>
        <w:numPr>
          <w:ilvl w:val="0"/>
          <w:numId w:val="7"/>
        </w:numPr>
      </w:pPr>
      <w:r>
        <w:t>PROFIL DE L’EXPERT</w:t>
      </w:r>
    </w:p>
    <w:p w14:paraId="63E22075" w14:textId="7870D445" w:rsidR="00A34FF8" w:rsidRPr="00E401E2" w:rsidRDefault="00E60141" w:rsidP="00E401E2">
      <w:pPr>
        <w:pStyle w:val="Titre3"/>
        <w:spacing w:after="240"/>
        <w:ind w:left="0" w:firstLine="0"/>
      </w:pPr>
      <w:r>
        <w:t>Expert n°2</w:t>
      </w:r>
      <w:r w:rsidR="00322111" w:rsidRPr="008247C2">
        <w:rPr>
          <w:u w:val="none"/>
        </w:rPr>
        <w:t xml:space="preserve">: </w:t>
      </w:r>
    </w:p>
    <w:p w14:paraId="17BD98D7" w14:textId="77777777" w:rsidR="00E60141" w:rsidRPr="00E60141" w:rsidRDefault="00E401E2" w:rsidP="00E60141">
      <w:pPr>
        <w:spacing w:before="120" w:line="276" w:lineRule="auto"/>
        <w:rPr>
          <w:sz w:val="24"/>
          <w:szCs w:val="24"/>
          <w:lang w:val="fr-BE"/>
        </w:rPr>
      </w:pPr>
      <w:r w:rsidRPr="002532E2">
        <w:rPr>
          <w:sz w:val="24"/>
          <w:szCs w:val="24"/>
        </w:rPr>
        <w:t xml:space="preserve">Domaine de compétence : </w:t>
      </w:r>
      <w:r w:rsidR="00846556" w:rsidRPr="00E60141">
        <w:rPr>
          <w:sz w:val="24"/>
          <w:szCs w:val="24"/>
          <w:lang w:val="fr-BE"/>
        </w:rPr>
        <w:t xml:space="preserve">Expert en </w:t>
      </w:r>
      <w:r w:rsidR="00E60141" w:rsidRPr="00E60141">
        <w:rPr>
          <w:sz w:val="24"/>
          <w:szCs w:val="24"/>
          <w:lang w:val="fr-BE"/>
        </w:rPr>
        <w:t>analyse de données et formulation d’indicateurs</w:t>
      </w:r>
    </w:p>
    <w:p w14:paraId="341F1164" w14:textId="722BDCAC" w:rsidR="0036723F" w:rsidRDefault="0036723F" w:rsidP="00E60141">
      <w:pPr>
        <w:spacing w:before="120" w:line="276" w:lineRule="auto"/>
        <w:jc w:val="both"/>
        <w:rPr>
          <w:sz w:val="22"/>
          <w:szCs w:val="22"/>
          <w:u w:val="single"/>
          <w:lang w:val="fr-BE"/>
        </w:rPr>
      </w:pPr>
    </w:p>
    <w:p w14:paraId="19FAF839" w14:textId="77777777" w:rsidR="00E60141" w:rsidRPr="00E60141" w:rsidRDefault="00E60141" w:rsidP="00E60141">
      <w:pPr>
        <w:spacing w:before="120" w:line="276" w:lineRule="auto"/>
        <w:rPr>
          <w:sz w:val="20"/>
          <w:u w:val="single"/>
          <w:lang w:val="fr-BE"/>
        </w:rPr>
      </w:pPr>
      <w:r w:rsidRPr="00E60141">
        <w:rPr>
          <w:sz w:val="20"/>
          <w:u w:val="single"/>
          <w:lang w:val="fr-BE"/>
        </w:rPr>
        <w:t>Expérience professionnelle :</w:t>
      </w:r>
    </w:p>
    <w:p w14:paraId="4C115B47" w14:textId="77777777" w:rsidR="00E60141" w:rsidRPr="00E60141" w:rsidRDefault="00E60141" w:rsidP="00E60141">
      <w:pPr>
        <w:pStyle w:val="Paragraphedeliste"/>
        <w:numPr>
          <w:ilvl w:val="0"/>
          <w:numId w:val="33"/>
        </w:numPr>
        <w:spacing w:before="120" w:line="276" w:lineRule="auto"/>
        <w:rPr>
          <w:sz w:val="20"/>
          <w:lang w:val="fr-BE"/>
        </w:rPr>
      </w:pPr>
      <w:r w:rsidRPr="00E60141">
        <w:rPr>
          <w:sz w:val="20"/>
          <w:lang w:val="fr-BE"/>
        </w:rPr>
        <w:t>Minimum 10 ans d’expérience en design et gestion de systèmes de suivi-évaluation.</w:t>
      </w:r>
    </w:p>
    <w:p w14:paraId="50E7A052" w14:textId="77777777" w:rsidR="00E60141" w:rsidRPr="00E60141" w:rsidRDefault="00E60141" w:rsidP="00E60141">
      <w:pPr>
        <w:pStyle w:val="Paragraphedeliste"/>
        <w:numPr>
          <w:ilvl w:val="0"/>
          <w:numId w:val="33"/>
        </w:numPr>
        <w:spacing w:before="120" w:line="276" w:lineRule="auto"/>
        <w:rPr>
          <w:sz w:val="20"/>
          <w:lang w:val="fr-BE"/>
        </w:rPr>
      </w:pPr>
      <w:r w:rsidRPr="00E60141">
        <w:rPr>
          <w:sz w:val="20"/>
          <w:lang w:val="fr-BE"/>
        </w:rPr>
        <w:t>Compétence prouvée dans la définition d’indicateurs quantitatifs et qualitatifs</w:t>
      </w:r>
    </w:p>
    <w:p w14:paraId="60FE3A8F" w14:textId="77777777" w:rsidR="00E60141" w:rsidRPr="00E60141" w:rsidRDefault="00E60141" w:rsidP="00E60141">
      <w:pPr>
        <w:pStyle w:val="Paragraphedeliste"/>
        <w:numPr>
          <w:ilvl w:val="0"/>
          <w:numId w:val="33"/>
        </w:numPr>
        <w:spacing w:before="120" w:line="276" w:lineRule="auto"/>
        <w:rPr>
          <w:sz w:val="20"/>
          <w:lang w:val="fr-BE"/>
        </w:rPr>
      </w:pPr>
      <w:r w:rsidRPr="00E60141">
        <w:rPr>
          <w:sz w:val="20"/>
          <w:lang w:val="fr-BE"/>
        </w:rPr>
        <w:t>Expérience préalable dans la collecte d’informations, données, conduite de sondages et d’analyse quantitatives et qualitatives</w:t>
      </w:r>
    </w:p>
    <w:p w14:paraId="141978D0" w14:textId="77777777" w:rsidR="00E60141" w:rsidRDefault="00E60141" w:rsidP="00E60141">
      <w:pPr>
        <w:pStyle w:val="Paragraphedeliste"/>
        <w:numPr>
          <w:ilvl w:val="0"/>
          <w:numId w:val="33"/>
        </w:numPr>
        <w:spacing w:before="120" w:line="276" w:lineRule="auto"/>
        <w:rPr>
          <w:sz w:val="20"/>
          <w:lang w:val="fr-BE"/>
        </w:rPr>
      </w:pPr>
      <w:r w:rsidRPr="00E60141">
        <w:rPr>
          <w:sz w:val="20"/>
          <w:lang w:val="fr-BE"/>
        </w:rPr>
        <w:t>Excellente maitrise du français, à l’écrit comme à l’orale</w:t>
      </w:r>
    </w:p>
    <w:p w14:paraId="64C1ACEB" w14:textId="77777777" w:rsidR="00E60141" w:rsidRDefault="00E60141" w:rsidP="00E60141">
      <w:pPr>
        <w:pStyle w:val="Paragraphedeliste"/>
        <w:spacing w:before="120" w:line="276" w:lineRule="auto"/>
        <w:ind w:left="360"/>
        <w:rPr>
          <w:sz w:val="20"/>
          <w:lang w:val="fr-BE"/>
        </w:rPr>
      </w:pPr>
    </w:p>
    <w:p w14:paraId="088DB5DE" w14:textId="77777777" w:rsidR="00E60141" w:rsidRPr="00E60141" w:rsidRDefault="00E60141" w:rsidP="00E60141">
      <w:pPr>
        <w:pStyle w:val="Paragraphedeliste"/>
        <w:spacing w:before="120" w:line="276" w:lineRule="auto"/>
        <w:ind w:left="360"/>
        <w:rPr>
          <w:sz w:val="20"/>
          <w:lang w:val="fr-BE"/>
        </w:rPr>
      </w:pPr>
    </w:p>
    <w:p w14:paraId="303C7684" w14:textId="77777777" w:rsidR="00E60141" w:rsidRPr="00E60141" w:rsidRDefault="00E60141" w:rsidP="00E60141">
      <w:pPr>
        <w:spacing w:before="120" w:line="276" w:lineRule="auto"/>
        <w:rPr>
          <w:sz w:val="20"/>
          <w:u w:val="single"/>
          <w:lang w:val="fr-BE"/>
        </w:rPr>
      </w:pPr>
      <w:r w:rsidRPr="00E60141">
        <w:rPr>
          <w:sz w:val="20"/>
          <w:u w:val="single"/>
          <w:lang w:val="fr-BE"/>
        </w:rPr>
        <w:t>Qualifications et compétences:</w:t>
      </w:r>
    </w:p>
    <w:p w14:paraId="1A9B6D36" w14:textId="77777777" w:rsidR="00E60141" w:rsidRPr="00E60141" w:rsidRDefault="00E60141" w:rsidP="00E60141">
      <w:pPr>
        <w:pStyle w:val="Paragraphedeliste"/>
        <w:numPr>
          <w:ilvl w:val="0"/>
          <w:numId w:val="33"/>
        </w:numPr>
        <w:spacing w:before="120" w:line="276" w:lineRule="auto"/>
        <w:rPr>
          <w:sz w:val="20"/>
          <w:lang w:val="fr-BE"/>
        </w:rPr>
      </w:pPr>
      <w:r w:rsidRPr="00E60141">
        <w:rPr>
          <w:sz w:val="20"/>
          <w:lang w:val="fr-BE"/>
        </w:rPr>
        <w:t>Expérience préalable dans la mise en œuvre d’assistance technique dans un milieu international</w:t>
      </w:r>
    </w:p>
    <w:p w14:paraId="57B9807D" w14:textId="77777777" w:rsidR="00E60141" w:rsidRPr="00E60141" w:rsidRDefault="00E60141" w:rsidP="00E60141">
      <w:pPr>
        <w:pStyle w:val="Paragraphedeliste"/>
        <w:numPr>
          <w:ilvl w:val="0"/>
          <w:numId w:val="33"/>
        </w:numPr>
        <w:suppressAutoHyphens w:val="0"/>
        <w:autoSpaceDN/>
        <w:spacing w:before="120" w:line="276" w:lineRule="auto"/>
        <w:textAlignment w:val="auto"/>
        <w:rPr>
          <w:rFonts w:cs="Arial"/>
          <w:sz w:val="20"/>
        </w:rPr>
      </w:pPr>
      <w:r w:rsidRPr="00E60141">
        <w:rPr>
          <w:rFonts w:cs="Arial"/>
          <w:sz w:val="20"/>
        </w:rPr>
        <w:t>Bon organisateur et communicateur</w:t>
      </w:r>
    </w:p>
    <w:p w14:paraId="02832D61" w14:textId="77777777" w:rsidR="00E60141" w:rsidRPr="00E60141" w:rsidRDefault="00E60141" w:rsidP="00E60141">
      <w:pPr>
        <w:pStyle w:val="Paragraphedeliste"/>
        <w:numPr>
          <w:ilvl w:val="0"/>
          <w:numId w:val="33"/>
        </w:numPr>
        <w:suppressAutoHyphens w:val="0"/>
        <w:autoSpaceDN/>
        <w:spacing w:before="120" w:line="276" w:lineRule="auto"/>
        <w:textAlignment w:val="auto"/>
        <w:rPr>
          <w:rFonts w:cs="Arial"/>
          <w:sz w:val="20"/>
        </w:rPr>
      </w:pPr>
      <w:r w:rsidRPr="00E60141">
        <w:rPr>
          <w:rFonts w:cs="Arial"/>
          <w:sz w:val="20"/>
        </w:rPr>
        <w:t>Sensible aux différences culturelles</w:t>
      </w:r>
    </w:p>
    <w:p w14:paraId="6A67E4EC" w14:textId="7D70A047" w:rsidR="00E60141" w:rsidRPr="00E60141" w:rsidRDefault="00E60141" w:rsidP="00E60141">
      <w:pPr>
        <w:spacing w:before="120" w:line="276" w:lineRule="auto"/>
        <w:jc w:val="both"/>
        <w:rPr>
          <w:sz w:val="20"/>
          <w:u w:val="single"/>
          <w:lang w:val="fr-BE"/>
        </w:rPr>
      </w:pPr>
      <w:r w:rsidRPr="00E60141">
        <w:rPr>
          <w:rFonts w:cs="Arial"/>
          <w:sz w:val="20"/>
        </w:rPr>
        <w:t>Expérience préalable en Afrique sub-saharienne (Afrique centrale ou Gabon en particulier)</w:t>
      </w:r>
    </w:p>
    <w:p w14:paraId="3F86B06F" w14:textId="77777777" w:rsidR="00E60141" w:rsidRDefault="00E60141" w:rsidP="0036723F">
      <w:pPr>
        <w:suppressAutoHyphens w:val="0"/>
        <w:autoSpaceDE w:val="0"/>
        <w:adjustRightInd w:val="0"/>
        <w:spacing w:after="0"/>
        <w:textAlignment w:val="auto"/>
        <w:rPr>
          <w:sz w:val="20"/>
          <w:u w:val="single"/>
          <w:lang w:val="fr-BE"/>
        </w:rPr>
      </w:pPr>
      <w:bookmarkStart w:id="1" w:name="_Toc489263168"/>
    </w:p>
    <w:p w14:paraId="74A05158" w14:textId="77777777" w:rsidR="00E60141" w:rsidRDefault="00E60141" w:rsidP="0036723F">
      <w:pPr>
        <w:suppressAutoHyphens w:val="0"/>
        <w:autoSpaceDE w:val="0"/>
        <w:adjustRightInd w:val="0"/>
        <w:spacing w:after="0"/>
        <w:textAlignment w:val="auto"/>
        <w:rPr>
          <w:sz w:val="20"/>
          <w:u w:val="single"/>
          <w:lang w:val="fr-BE"/>
        </w:rPr>
      </w:pPr>
    </w:p>
    <w:p w14:paraId="455D80D9" w14:textId="77777777" w:rsidR="00E60141" w:rsidRPr="008247C2" w:rsidRDefault="00E60141" w:rsidP="0036723F">
      <w:pPr>
        <w:suppressAutoHyphens w:val="0"/>
        <w:autoSpaceDE w:val="0"/>
        <w:adjustRightInd w:val="0"/>
        <w:spacing w:after="0"/>
        <w:textAlignment w:val="auto"/>
        <w:rPr>
          <w:rFonts w:eastAsiaTheme="minorHAnsi" w:cs="Verdana"/>
          <w:color w:val="000000"/>
        </w:rPr>
      </w:pPr>
    </w:p>
    <w:bookmarkEnd w:id="1"/>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944D46">
      <w:pPr>
        <w:pStyle w:val="NormalWeb"/>
        <w:spacing w:after="360" w:afterAutospacing="0"/>
        <w:jc w:val="both"/>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8"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5FA8531D" w14:textId="77777777" w:rsidR="002555A8" w:rsidRDefault="004F331B" w:rsidP="00BE7CB5">
      <w:pPr>
        <w:jc w:val="both"/>
        <w:rPr>
          <w:sz w:val="22"/>
          <w:szCs w:val="22"/>
        </w:rPr>
      </w:pPr>
      <w:r w:rsidRPr="005E59C4">
        <w:rPr>
          <w:szCs w:val="18"/>
        </w:rPr>
        <w:t xml:space="preserve">Les experts intéressés doivent soumettre leur candidature par e-mail à l’adresse </w:t>
      </w:r>
      <w:hyperlink r:id="rId9" w:history="1">
        <w:r w:rsidRPr="005E59C4">
          <w:rPr>
            <w:rStyle w:val="Lienhypertexte"/>
            <w:szCs w:val="18"/>
          </w:rPr>
          <w:t>experts@socieux.eu</w:t>
        </w:r>
      </w:hyperlink>
      <w:r w:rsidRPr="005E59C4">
        <w:rPr>
          <w:szCs w:val="18"/>
        </w:rPr>
        <w:t xml:space="preserve"> en précisant dans l’objet de l’e-mail la référence ci-dessous :</w:t>
      </w:r>
      <w:r w:rsidR="00721618">
        <w:rPr>
          <w:sz w:val="22"/>
          <w:szCs w:val="22"/>
        </w:rPr>
        <w:t xml:space="preserve"> </w:t>
      </w:r>
    </w:p>
    <w:p w14:paraId="16750868" w14:textId="57896C08" w:rsidR="00CD694B" w:rsidRPr="002532E2" w:rsidRDefault="00721618" w:rsidP="00BE7CB5">
      <w:pPr>
        <w:jc w:val="both"/>
        <w:rPr>
          <w:sz w:val="22"/>
          <w:szCs w:val="22"/>
        </w:rPr>
      </w:pPr>
      <w:bookmarkStart w:id="2" w:name="_GoBack"/>
      <w:bookmarkEnd w:id="2"/>
      <w:r w:rsidRPr="002532E2">
        <w:rPr>
          <w:b/>
          <w:i/>
          <w:color w:val="0070C0"/>
          <w:sz w:val="28"/>
          <w:szCs w:val="28"/>
          <w:highlight w:val="yellow"/>
        </w:rPr>
        <w:t>15-21/GAB/03.04/</w:t>
      </w:r>
      <w:r w:rsidR="00E60141">
        <w:rPr>
          <w:b/>
          <w:i/>
          <w:color w:val="FF0000"/>
          <w:sz w:val="28"/>
          <w:szCs w:val="28"/>
          <w:highlight w:val="yellow"/>
        </w:rPr>
        <w:t>2</w:t>
      </w:r>
    </w:p>
    <w:p w14:paraId="504FCA23" w14:textId="2DEB647B" w:rsidR="00B0477D" w:rsidRDefault="004F331B" w:rsidP="00BE7CB5">
      <w:pPr>
        <w:shd w:val="clear" w:color="auto" w:fill="FFFFFF" w:themeFill="background1"/>
        <w:jc w:val="both"/>
        <w:rPr>
          <w:color w:val="000000" w:themeColor="text1"/>
          <w:szCs w:val="18"/>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0" w:history="1">
        <w:r w:rsidRPr="005E59C4">
          <w:rPr>
            <w:rStyle w:val="Lienhypertexte"/>
            <w:color w:val="000000" w:themeColor="text1"/>
            <w:szCs w:val="18"/>
          </w:rPr>
          <w:t>https://pmt.socieux.eu</w:t>
        </w:r>
      </w:hyperlink>
      <w:r w:rsidR="002748C1">
        <w:rPr>
          <w:rStyle w:val="Lienhypertexte"/>
          <w:color w:val="000000" w:themeColor="text1"/>
          <w:szCs w:val="18"/>
          <w:u w:val="none"/>
        </w:rPr>
        <w:t xml:space="preserve">. </w:t>
      </w: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2D2B614D" w14:textId="77777777" w:rsidR="00E60141" w:rsidRPr="002748C1" w:rsidRDefault="00E60141" w:rsidP="00BE7CB5">
      <w:pPr>
        <w:shd w:val="clear" w:color="auto" w:fill="FFFFFF" w:themeFill="background1"/>
        <w:jc w:val="both"/>
        <w:rPr>
          <w:color w:val="000000" w:themeColor="text1"/>
          <w:szCs w:val="18"/>
          <w:u w:val="single"/>
        </w:rPr>
      </w:pPr>
    </w:p>
    <w:p w14:paraId="4ED94959" w14:textId="54EA9A87" w:rsidR="003A55B0" w:rsidRPr="008247C2" w:rsidRDefault="00944D46" w:rsidP="00652B37">
      <w:pPr>
        <w:pStyle w:val="Titre1"/>
        <w:numPr>
          <w:ilvl w:val="0"/>
          <w:numId w:val="5"/>
        </w:numPr>
      </w:pPr>
      <w:bookmarkStart w:id="3" w:name="_Toc474397588"/>
      <w:bookmarkStart w:id="4" w:name="_Toc474742448"/>
      <w:r>
        <w:t>PROCESSUS DE SELECTION</w:t>
      </w:r>
    </w:p>
    <w:bookmarkEnd w:id="3"/>
    <w:bookmarkEnd w:id="4"/>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2601714B" w14:textId="1671C95C" w:rsidR="009060A9" w:rsidRPr="009E4E43" w:rsidRDefault="004F331B" w:rsidP="009E4E43">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1"/>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odaySBOP-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43939F6E" w:rsidR="0079492F" w:rsidRDefault="00721618" w:rsidP="00256B85">
        <w:pPr>
          <w:pBdr>
            <w:top w:val="single" w:sz="4" w:space="0" w:color="auto"/>
          </w:pBdr>
        </w:pPr>
        <w:r>
          <w:rPr>
            <w:i/>
            <w:color w:val="0070C0"/>
          </w:rPr>
          <w:t>15-21</w:t>
        </w:r>
        <w:r w:rsidRPr="008247C2">
          <w:rPr>
            <w:i/>
            <w:color w:val="0070C0"/>
          </w:rPr>
          <w:t>/</w:t>
        </w:r>
        <w:r>
          <w:rPr>
            <w:i/>
            <w:color w:val="0070C0"/>
          </w:rPr>
          <w:t>GAB</w:t>
        </w:r>
        <w:r>
          <w:rPr>
            <w:i/>
            <w:color w:val="0070C0"/>
            <w:szCs w:val="18"/>
          </w:rPr>
          <w:t>/03.04</w:t>
        </w:r>
        <w:r w:rsidRPr="008247C2">
          <w:rPr>
            <w:i/>
            <w:color w:val="0070C0"/>
            <w:szCs w:val="18"/>
          </w:rPr>
          <w:t>/</w:t>
        </w:r>
        <w:r w:rsidR="00256B85">
          <w:rPr>
            <w:i/>
            <w:color w:val="0070C0"/>
          </w:rPr>
          <w:t>2</w:t>
        </w:r>
        <w:r w:rsidR="004148EE">
          <w:tab/>
        </w:r>
        <w:r w:rsidR="004148EE">
          <w:tab/>
        </w:r>
        <w:r w:rsidR="004148EE">
          <w:tab/>
        </w:r>
        <w:r w:rsidR="004148EE">
          <w:tab/>
        </w:r>
      </w:p>
    </w:sdtContent>
  </w:sdt>
  <w:p w14:paraId="7BD7AE2B" w14:textId="77777777" w:rsidR="00256B85" w:rsidRDefault="00256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E"/>
    <w:multiLevelType w:val="hybridMultilevel"/>
    <w:tmpl w:val="53A68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A4A84"/>
    <w:multiLevelType w:val="hybridMultilevel"/>
    <w:tmpl w:val="CF047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35236A"/>
    <w:multiLevelType w:val="hybridMultilevel"/>
    <w:tmpl w:val="CC8A75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2FF41B4"/>
    <w:multiLevelType w:val="hybridMultilevel"/>
    <w:tmpl w:val="E8B88A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725B3E"/>
    <w:multiLevelType w:val="hybridMultilevel"/>
    <w:tmpl w:val="679E7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1" w15:restartNumberingAfterBreak="0">
    <w:nsid w:val="3BB83BAA"/>
    <w:multiLevelType w:val="hybridMultilevel"/>
    <w:tmpl w:val="D3CA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914C3"/>
    <w:multiLevelType w:val="hybridMultilevel"/>
    <w:tmpl w:val="75D6F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6"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9"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DC519E7"/>
    <w:multiLevelType w:val="hybridMultilevel"/>
    <w:tmpl w:val="B974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A56378"/>
    <w:multiLevelType w:val="hybridMultilevel"/>
    <w:tmpl w:val="9F1EE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7AE2211"/>
    <w:multiLevelType w:val="hybridMultilevel"/>
    <w:tmpl w:val="2F1A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21E47"/>
    <w:multiLevelType w:val="hybridMultilevel"/>
    <w:tmpl w:val="839A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EC38FA"/>
    <w:multiLevelType w:val="hybridMultilevel"/>
    <w:tmpl w:val="39E8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2"/>
  </w:num>
  <w:num w:numId="2">
    <w:abstractNumId w:val="33"/>
  </w:num>
  <w:num w:numId="3">
    <w:abstractNumId w:val="22"/>
  </w:num>
  <w:num w:numId="4">
    <w:abstractNumId w:val="17"/>
  </w:num>
  <w:num w:numId="5">
    <w:abstractNumId w:val="1"/>
  </w:num>
  <w:num w:numId="6">
    <w:abstractNumId w:val="20"/>
  </w:num>
  <w:num w:numId="7">
    <w:abstractNumId w:val="29"/>
  </w:num>
  <w:num w:numId="8">
    <w:abstractNumId w:val="16"/>
  </w:num>
  <w:num w:numId="9">
    <w:abstractNumId w:val="24"/>
  </w:num>
  <w:num w:numId="10">
    <w:abstractNumId w:val="7"/>
  </w:num>
  <w:num w:numId="11">
    <w:abstractNumId w:val="14"/>
  </w:num>
  <w:num w:numId="12">
    <w:abstractNumId w:val="9"/>
  </w:num>
  <w:num w:numId="13">
    <w:abstractNumId w:val="19"/>
  </w:num>
  <w:num w:numId="14">
    <w:abstractNumId w:val="26"/>
  </w:num>
  <w:num w:numId="15">
    <w:abstractNumId w:val="15"/>
  </w:num>
  <w:num w:numId="16">
    <w:abstractNumId w:val="2"/>
  </w:num>
  <w:num w:numId="17">
    <w:abstractNumId w:val="23"/>
  </w:num>
  <w:num w:numId="18">
    <w:abstractNumId w:val="21"/>
  </w:num>
  <w:num w:numId="19">
    <w:abstractNumId w:val="10"/>
  </w:num>
  <w:num w:numId="20">
    <w:abstractNumId w:val="18"/>
  </w:num>
  <w:num w:numId="21">
    <w:abstractNumId w:val="27"/>
  </w:num>
  <w:num w:numId="22">
    <w:abstractNumId w:val="6"/>
  </w:num>
  <w:num w:numId="23">
    <w:abstractNumId w:val="4"/>
  </w:num>
  <w:num w:numId="24">
    <w:abstractNumId w:val="31"/>
  </w:num>
  <w:num w:numId="25">
    <w:abstractNumId w:val="0"/>
  </w:num>
  <w:num w:numId="26">
    <w:abstractNumId w:val="8"/>
  </w:num>
  <w:num w:numId="27">
    <w:abstractNumId w:val="30"/>
  </w:num>
  <w:num w:numId="28">
    <w:abstractNumId w:val="32"/>
  </w:num>
  <w:num w:numId="29">
    <w:abstractNumId w:val="13"/>
  </w:num>
  <w:num w:numId="30">
    <w:abstractNumId w:val="28"/>
  </w:num>
  <w:num w:numId="31">
    <w:abstractNumId w:val="3"/>
  </w:num>
  <w:num w:numId="32">
    <w:abstractNumId w:val="11"/>
  </w:num>
  <w:num w:numId="33">
    <w:abstractNumId w:val="5"/>
  </w:num>
  <w:num w:numId="3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B0"/>
    <w:rsid w:val="00014CA0"/>
    <w:rsid w:val="00022B6D"/>
    <w:rsid w:val="0005116A"/>
    <w:rsid w:val="0005433A"/>
    <w:rsid w:val="000548FE"/>
    <w:rsid w:val="0005543E"/>
    <w:rsid w:val="00070375"/>
    <w:rsid w:val="00077D75"/>
    <w:rsid w:val="00093458"/>
    <w:rsid w:val="000B4A74"/>
    <w:rsid w:val="000C1E5F"/>
    <w:rsid w:val="000C7985"/>
    <w:rsid w:val="000D4AE9"/>
    <w:rsid w:val="000E19F7"/>
    <w:rsid w:val="000F448C"/>
    <w:rsid w:val="00106C3B"/>
    <w:rsid w:val="00106D11"/>
    <w:rsid w:val="00114C98"/>
    <w:rsid w:val="00125FB7"/>
    <w:rsid w:val="0016060B"/>
    <w:rsid w:val="001614E1"/>
    <w:rsid w:val="00166CF9"/>
    <w:rsid w:val="0018469C"/>
    <w:rsid w:val="00186175"/>
    <w:rsid w:val="001A4D16"/>
    <w:rsid w:val="001C3585"/>
    <w:rsid w:val="001D29A4"/>
    <w:rsid w:val="001D563A"/>
    <w:rsid w:val="001E7B9B"/>
    <w:rsid w:val="0020167B"/>
    <w:rsid w:val="002244FA"/>
    <w:rsid w:val="002532E2"/>
    <w:rsid w:val="002555A8"/>
    <w:rsid w:val="00256B85"/>
    <w:rsid w:val="00257C8D"/>
    <w:rsid w:val="002748C1"/>
    <w:rsid w:val="002754ED"/>
    <w:rsid w:val="00290E46"/>
    <w:rsid w:val="00292A83"/>
    <w:rsid w:val="002B7ED3"/>
    <w:rsid w:val="002C0CA7"/>
    <w:rsid w:val="002E1A9B"/>
    <w:rsid w:val="002E4C9F"/>
    <w:rsid w:val="002F29C3"/>
    <w:rsid w:val="002F4557"/>
    <w:rsid w:val="00313D02"/>
    <w:rsid w:val="00314CEE"/>
    <w:rsid w:val="00322111"/>
    <w:rsid w:val="00335E0C"/>
    <w:rsid w:val="003407B5"/>
    <w:rsid w:val="0034793F"/>
    <w:rsid w:val="00347F36"/>
    <w:rsid w:val="00355B2F"/>
    <w:rsid w:val="003615D3"/>
    <w:rsid w:val="0036723F"/>
    <w:rsid w:val="0038538E"/>
    <w:rsid w:val="00396E00"/>
    <w:rsid w:val="003A5564"/>
    <w:rsid w:val="003A55B0"/>
    <w:rsid w:val="003B6E76"/>
    <w:rsid w:val="003C0EE5"/>
    <w:rsid w:val="003D224C"/>
    <w:rsid w:val="003F1E74"/>
    <w:rsid w:val="003F35B8"/>
    <w:rsid w:val="00400EB2"/>
    <w:rsid w:val="004148EE"/>
    <w:rsid w:val="00415870"/>
    <w:rsid w:val="004226A2"/>
    <w:rsid w:val="00427BD8"/>
    <w:rsid w:val="00444220"/>
    <w:rsid w:val="00484BF5"/>
    <w:rsid w:val="00487FA0"/>
    <w:rsid w:val="004B0FFB"/>
    <w:rsid w:val="004C20CE"/>
    <w:rsid w:val="004C550F"/>
    <w:rsid w:val="004D32A6"/>
    <w:rsid w:val="004F060B"/>
    <w:rsid w:val="004F331B"/>
    <w:rsid w:val="004F560F"/>
    <w:rsid w:val="004F5F12"/>
    <w:rsid w:val="004F773C"/>
    <w:rsid w:val="005072FB"/>
    <w:rsid w:val="00510DF7"/>
    <w:rsid w:val="0052702A"/>
    <w:rsid w:val="00527415"/>
    <w:rsid w:val="00534082"/>
    <w:rsid w:val="00565181"/>
    <w:rsid w:val="00571707"/>
    <w:rsid w:val="005A0E8A"/>
    <w:rsid w:val="005A39E8"/>
    <w:rsid w:val="005B3C6C"/>
    <w:rsid w:val="005B5FEC"/>
    <w:rsid w:val="005B6792"/>
    <w:rsid w:val="005D0B8F"/>
    <w:rsid w:val="005D4222"/>
    <w:rsid w:val="005E59C4"/>
    <w:rsid w:val="005E644E"/>
    <w:rsid w:val="005F2805"/>
    <w:rsid w:val="006022A0"/>
    <w:rsid w:val="00652B37"/>
    <w:rsid w:val="00655D8F"/>
    <w:rsid w:val="006626E2"/>
    <w:rsid w:val="006661A8"/>
    <w:rsid w:val="00695D2B"/>
    <w:rsid w:val="006A0A6B"/>
    <w:rsid w:val="006C5580"/>
    <w:rsid w:val="006D5060"/>
    <w:rsid w:val="006D67A9"/>
    <w:rsid w:val="006D76FB"/>
    <w:rsid w:val="006F3A97"/>
    <w:rsid w:val="00701736"/>
    <w:rsid w:val="00710908"/>
    <w:rsid w:val="00721618"/>
    <w:rsid w:val="00736F9A"/>
    <w:rsid w:val="00755CBB"/>
    <w:rsid w:val="007563FD"/>
    <w:rsid w:val="0075712C"/>
    <w:rsid w:val="0076476C"/>
    <w:rsid w:val="0076631B"/>
    <w:rsid w:val="00773038"/>
    <w:rsid w:val="007810CC"/>
    <w:rsid w:val="00783F8B"/>
    <w:rsid w:val="007903AD"/>
    <w:rsid w:val="00792666"/>
    <w:rsid w:val="0079492F"/>
    <w:rsid w:val="007A3E0D"/>
    <w:rsid w:val="007C3899"/>
    <w:rsid w:val="007F58E2"/>
    <w:rsid w:val="008022AC"/>
    <w:rsid w:val="00813F2D"/>
    <w:rsid w:val="00817735"/>
    <w:rsid w:val="008247C2"/>
    <w:rsid w:val="0083551A"/>
    <w:rsid w:val="008413A5"/>
    <w:rsid w:val="00846556"/>
    <w:rsid w:val="00852059"/>
    <w:rsid w:val="00862BE7"/>
    <w:rsid w:val="008645C0"/>
    <w:rsid w:val="008662D5"/>
    <w:rsid w:val="008841F6"/>
    <w:rsid w:val="00886495"/>
    <w:rsid w:val="008A10D5"/>
    <w:rsid w:val="008A4AF1"/>
    <w:rsid w:val="008E3439"/>
    <w:rsid w:val="008E356E"/>
    <w:rsid w:val="008F19FF"/>
    <w:rsid w:val="00900B11"/>
    <w:rsid w:val="009060A9"/>
    <w:rsid w:val="00944D46"/>
    <w:rsid w:val="009541D1"/>
    <w:rsid w:val="00954CDF"/>
    <w:rsid w:val="009710FE"/>
    <w:rsid w:val="00971782"/>
    <w:rsid w:val="00971E34"/>
    <w:rsid w:val="009A7F29"/>
    <w:rsid w:val="009B0787"/>
    <w:rsid w:val="009B76B2"/>
    <w:rsid w:val="009E4E43"/>
    <w:rsid w:val="009F53F8"/>
    <w:rsid w:val="00A11778"/>
    <w:rsid w:val="00A15C64"/>
    <w:rsid w:val="00A16CD4"/>
    <w:rsid w:val="00A21C67"/>
    <w:rsid w:val="00A23915"/>
    <w:rsid w:val="00A337E0"/>
    <w:rsid w:val="00A34FF8"/>
    <w:rsid w:val="00A55E2A"/>
    <w:rsid w:val="00A55E9E"/>
    <w:rsid w:val="00A56E7C"/>
    <w:rsid w:val="00A6619B"/>
    <w:rsid w:val="00A95C04"/>
    <w:rsid w:val="00AB416B"/>
    <w:rsid w:val="00AF58E6"/>
    <w:rsid w:val="00AF5EEB"/>
    <w:rsid w:val="00B0477D"/>
    <w:rsid w:val="00B16DC8"/>
    <w:rsid w:val="00B272E1"/>
    <w:rsid w:val="00B41429"/>
    <w:rsid w:val="00B70B16"/>
    <w:rsid w:val="00B80A2B"/>
    <w:rsid w:val="00B80C49"/>
    <w:rsid w:val="00BA5B38"/>
    <w:rsid w:val="00BE7CB5"/>
    <w:rsid w:val="00C0028F"/>
    <w:rsid w:val="00C04EBF"/>
    <w:rsid w:val="00C33A7C"/>
    <w:rsid w:val="00C34AD5"/>
    <w:rsid w:val="00C4708B"/>
    <w:rsid w:val="00C5469B"/>
    <w:rsid w:val="00C54CB8"/>
    <w:rsid w:val="00C75214"/>
    <w:rsid w:val="00CD42C7"/>
    <w:rsid w:val="00CD694B"/>
    <w:rsid w:val="00CF4649"/>
    <w:rsid w:val="00D2222D"/>
    <w:rsid w:val="00D27502"/>
    <w:rsid w:val="00D51226"/>
    <w:rsid w:val="00D53F1E"/>
    <w:rsid w:val="00D611CD"/>
    <w:rsid w:val="00D73540"/>
    <w:rsid w:val="00D91EA0"/>
    <w:rsid w:val="00DB7FF8"/>
    <w:rsid w:val="00DC7D39"/>
    <w:rsid w:val="00DD4455"/>
    <w:rsid w:val="00DD7A2A"/>
    <w:rsid w:val="00DE025F"/>
    <w:rsid w:val="00DE71CA"/>
    <w:rsid w:val="00DF1B25"/>
    <w:rsid w:val="00E00F2A"/>
    <w:rsid w:val="00E01264"/>
    <w:rsid w:val="00E1075B"/>
    <w:rsid w:val="00E17C7E"/>
    <w:rsid w:val="00E37546"/>
    <w:rsid w:val="00E401E2"/>
    <w:rsid w:val="00E44D91"/>
    <w:rsid w:val="00E57D64"/>
    <w:rsid w:val="00E60141"/>
    <w:rsid w:val="00E70F85"/>
    <w:rsid w:val="00E76C97"/>
    <w:rsid w:val="00EB05F0"/>
    <w:rsid w:val="00ED29F6"/>
    <w:rsid w:val="00EE0C3C"/>
    <w:rsid w:val="00EF3B2B"/>
    <w:rsid w:val="00EF46DD"/>
    <w:rsid w:val="00EF5656"/>
    <w:rsid w:val="00F178C8"/>
    <w:rsid w:val="00F24410"/>
    <w:rsid w:val="00F36E9D"/>
    <w:rsid w:val="00F45F6F"/>
    <w:rsid w:val="00F523CF"/>
    <w:rsid w:val="00F54D08"/>
    <w:rsid w:val="00F62839"/>
    <w:rsid w:val="00F8654C"/>
    <w:rsid w:val="00F97C99"/>
    <w:rsid w:val="00FC103D"/>
    <w:rsid w:val="00FC4729"/>
    <w:rsid w:val="00FD28CA"/>
    <w:rsid w:val="00FF1E43"/>
    <w:rsid w:val="00FF7E18"/>
    <w:rsid w:val="00FF7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docId w15:val="{960088BD-B2B1-4E9F-9700-E6DCE385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character" w:styleId="Textedelespacerserv">
    <w:name w:val="Placeholder Text"/>
    <w:basedOn w:val="Policepardfaut"/>
    <w:uiPriority w:val="99"/>
    <w:semiHidden/>
    <w:rsid w:val="00886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744574035">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0032374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3CE1-5BA1-4672-8AD9-F2BF7BE2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9302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DONY</dc:creator>
  <cp:lastModifiedBy>Raphaël DONY</cp:lastModifiedBy>
  <cp:revision>4</cp:revision>
  <cp:lastPrinted>2017-08-03T13:29:00Z</cp:lastPrinted>
  <dcterms:created xsi:type="dcterms:W3CDTF">2018-02-07T10:20:00Z</dcterms:created>
  <dcterms:modified xsi:type="dcterms:W3CDTF">2018-02-08T10:33:00Z</dcterms:modified>
</cp:coreProperties>
</file>