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06D11" w:rsidRDefault="00C4708B" w:rsidP="00C5469B">
      <w:pPr>
        <w:pStyle w:val="Titre"/>
        <w:rPr>
          <w:lang w:val="en-US"/>
        </w:rPr>
      </w:pPr>
      <w:r w:rsidRPr="00106D11">
        <w:rPr>
          <w:lang w:val="en-US"/>
        </w:rPr>
        <w:t>call for applications</w:t>
      </w:r>
      <w:r w:rsidR="003A55B0" w:rsidRPr="00106D11">
        <w:rPr>
          <w:lang w:val="en-US"/>
        </w:rPr>
        <w:t xml:space="preserve"> – </w:t>
      </w:r>
      <w:r w:rsidRPr="00106D11">
        <w:rPr>
          <w:lang w:val="en-US"/>
        </w:rPr>
        <w:t>search for experts</w:t>
      </w:r>
    </w:p>
    <w:p w14:paraId="19192DC9" w14:textId="77777777" w:rsidR="003A55B0" w:rsidRPr="00106D11" w:rsidRDefault="003A55B0" w:rsidP="00C5469B">
      <w:pPr>
        <w:rPr>
          <w:lang w:val="en-US"/>
        </w:rPr>
      </w:pPr>
    </w:p>
    <w:p w14:paraId="55B62408" w14:textId="77777777" w:rsidR="005072FB" w:rsidRPr="00106D11" w:rsidRDefault="005072FB" w:rsidP="00186175">
      <w:pPr>
        <w:jc w:val="center"/>
        <w:rPr>
          <w:lang w:val="en-US"/>
        </w:rPr>
      </w:pPr>
    </w:p>
    <w:p w14:paraId="75FE2606" w14:textId="57D2269B" w:rsidR="000C1E5F" w:rsidRPr="00CB1856" w:rsidRDefault="00813F2D" w:rsidP="00186175">
      <w:pPr>
        <w:jc w:val="center"/>
        <w:rPr>
          <w:i/>
          <w:color w:val="0070C0"/>
          <w:lang w:val="en-US"/>
        </w:rPr>
      </w:pPr>
      <w:r w:rsidRPr="00CB1856">
        <w:rPr>
          <w:lang w:val="en-US"/>
        </w:rPr>
        <w:t>Publication Reference</w:t>
      </w:r>
      <w:r w:rsidR="003A55B0" w:rsidRPr="00CB1856">
        <w:rPr>
          <w:lang w:val="en-US"/>
        </w:rPr>
        <w:t xml:space="preserve">: </w:t>
      </w:r>
      <w:r w:rsidR="00B916DB" w:rsidRPr="00CB1856">
        <w:rPr>
          <w:i/>
          <w:color w:val="0070C0"/>
          <w:lang w:val="en-US"/>
        </w:rPr>
        <w:t>17-39</w:t>
      </w:r>
      <w:r w:rsidR="006D67A9" w:rsidRPr="00CB1856">
        <w:rPr>
          <w:i/>
          <w:color w:val="0070C0"/>
          <w:lang w:val="en-US"/>
        </w:rPr>
        <w:t>/</w:t>
      </w:r>
      <w:r w:rsidR="00B916DB" w:rsidRPr="00CB1856">
        <w:rPr>
          <w:i/>
          <w:color w:val="0070C0"/>
          <w:lang w:val="en-US"/>
        </w:rPr>
        <w:t>TOG</w:t>
      </w:r>
      <w:r w:rsidR="00C22697" w:rsidRPr="00CB1856">
        <w:rPr>
          <w:i/>
          <w:color w:val="0070C0"/>
          <w:szCs w:val="18"/>
          <w:lang w:val="en-US"/>
        </w:rPr>
        <w:t>/01</w:t>
      </w:r>
      <w:r w:rsidR="000B4A74" w:rsidRPr="00CB1856">
        <w:rPr>
          <w:i/>
          <w:color w:val="0070C0"/>
          <w:szCs w:val="18"/>
          <w:lang w:val="en-US"/>
        </w:rPr>
        <w:t>.04</w:t>
      </w:r>
      <w:r w:rsidR="00FC4729" w:rsidRPr="00CB1856">
        <w:rPr>
          <w:i/>
          <w:color w:val="0070C0"/>
          <w:szCs w:val="18"/>
          <w:lang w:val="en-US"/>
        </w:rPr>
        <w:t>/</w:t>
      </w:r>
      <w:r w:rsidR="00CB1856">
        <w:rPr>
          <w:i/>
          <w:color w:val="0070C0"/>
          <w:lang w:val="en-US"/>
        </w:rPr>
        <w:t>2</w:t>
      </w:r>
    </w:p>
    <w:p w14:paraId="4784F53F" w14:textId="77777777" w:rsidR="004C20CE" w:rsidRPr="008247C2" w:rsidRDefault="004C20CE" w:rsidP="00186175">
      <w:pPr>
        <w:jc w:val="center"/>
        <w:rPr>
          <w:i/>
          <w:color w:val="0070C0"/>
        </w:rPr>
      </w:pPr>
    </w:p>
    <w:tbl>
      <w:tblPr>
        <w:tblStyle w:val="Grilledutableau"/>
        <w:tblW w:w="0" w:type="auto"/>
        <w:tblLook w:val="04A0" w:firstRow="1" w:lastRow="0" w:firstColumn="1" w:lastColumn="0" w:noHBand="0" w:noVBand="1"/>
      </w:tblPr>
      <w:tblGrid>
        <w:gridCol w:w="8717"/>
      </w:tblGrid>
      <w:tr w:rsidR="00C5469B" w:rsidRPr="008247C2" w14:paraId="332D2C03" w14:textId="77777777" w:rsidTr="00942927">
        <w:trPr>
          <w:trHeight w:val="7797"/>
        </w:trPr>
        <w:tc>
          <w:tcPr>
            <w:tcW w:w="8717" w:type="dxa"/>
          </w:tcPr>
          <w:p w14:paraId="35B48DD6" w14:textId="77777777" w:rsidR="00701736" w:rsidRPr="008247C2" w:rsidRDefault="00701736" w:rsidP="0083551A">
            <w:pPr>
              <w:pStyle w:val="Default"/>
              <w:jc w:val="both"/>
              <w:rPr>
                <w:b/>
                <w:sz w:val="20"/>
                <w:szCs w:val="20"/>
              </w:rPr>
            </w:pPr>
          </w:p>
          <w:p w14:paraId="3E66E791" w14:textId="77777777" w:rsidR="000C5546" w:rsidRPr="001A65B6" w:rsidRDefault="00A55E9E" w:rsidP="00942927">
            <w:pPr>
              <w:spacing w:after="240"/>
              <w:jc w:val="both"/>
              <w:rPr>
                <w:b/>
                <w:sz w:val="20"/>
              </w:rPr>
            </w:pPr>
            <w:r w:rsidRPr="008247C2">
              <w:rPr>
                <w:b/>
                <w:sz w:val="28"/>
                <w:szCs w:val="28"/>
              </w:rPr>
              <w:t>Titre de l’action</w:t>
            </w:r>
            <w:r w:rsidR="00C5469B" w:rsidRPr="000C5546">
              <w:rPr>
                <w:b/>
                <w:sz w:val="28"/>
                <w:szCs w:val="28"/>
              </w:rPr>
              <w:t xml:space="preserve"> :</w:t>
            </w:r>
            <w:r w:rsidR="00C5469B" w:rsidRPr="000C5546">
              <w:rPr>
                <w:i/>
                <w:sz w:val="28"/>
                <w:szCs w:val="28"/>
              </w:rPr>
              <w:t xml:space="preserve"> </w:t>
            </w:r>
            <w:r w:rsidR="000C5546" w:rsidRPr="000C5546">
              <w:rPr>
                <w:sz w:val="28"/>
                <w:szCs w:val="28"/>
              </w:rPr>
              <w:t>Assistance pour l’amélioration des outils de gestion technique de l’INAM</w:t>
            </w:r>
          </w:p>
          <w:p w14:paraId="431B9DD3" w14:textId="77777777" w:rsidR="006D67A9" w:rsidRPr="008247C2" w:rsidRDefault="006D67A9" w:rsidP="00942927">
            <w:pPr>
              <w:jc w:val="both"/>
            </w:pPr>
          </w:p>
          <w:p w14:paraId="509BCFA7" w14:textId="273A3DB5" w:rsidR="00510DF7" w:rsidRPr="00942927" w:rsidRDefault="00A55E9E" w:rsidP="00942927">
            <w:pPr>
              <w:spacing w:after="360"/>
              <w:jc w:val="both"/>
              <w:rPr>
                <w:b/>
                <w:color w:val="0070C0"/>
                <w:sz w:val="22"/>
                <w:szCs w:val="22"/>
              </w:rPr>
            </w:pPr>
            <w:r w:rsidRPr="00942927">
              <w:rPr>
                <w:b/>
                <w:sz w:val="22"/>
                <w:szCs w:val="22"/>
              </w:rPr>
              <w:t>Code de l’action et pays partenaire</w:t>
            </w:r>
            <w:r w:rsidR="005D0B8F" w:rsidRPr="00942927">
              <w:rPr>
                <w:sz w:val="22"/>
                <w:szCs w:val="22"/>
              </w:rPr>
              <w:t xml:space="preserve"> :</w:t>
            </w:r>
            <w:r w:rsidR="000B4A74" w:rsidRPr="00942927">
              <w:rPr>
                <w:color w:val="0070C0"/>
                <w:sz w:val="22"/>
                <w:szCs w:val="22"/>
              </w:rPr>
              <w:t xml:space="preserve"> </w:t>
            </w:r>
            <w:r w:rsidR="000C5546" w:rsidRPr="00942927">
              <w:rPr>
                <w:color w:val="0070C0"/>
                <w:sz w:val="22"/>
                <w:szCs w:val="22"/>
              </w:rPr>
              <w:t>2017-39 TOGO</w:t>
            </w:r>
          </w:p>
          <w:p w14:paraId="0005C1F5" w14:textId="57D49F79" w:rsidR="00FF7E34" w:rsidRPr="00942927" w:rsidRDefault="00A55E9E" w:rsidP="00942927">
            <w:pPr>
              <w:pStyle w:val="paragraph"/>
              <w:jc w:val="both"/>
              <w:textAlignment w:val="baseline"/>
              <w:rPr>
                <w:rFonts w:ascii="Verdana" w:hAnsi="Verdana"/>
                <w:sz w:val="22"/>
                <w:szCs w:val="22"/>
              </w:rPr>
            </w:pPr>
            <w:r w:rsidRPr="00942927">
              <w:rPr>
                <w:rFonts w:ascii="Verdana" w:hAnsi="Verdana"/>
                <w:b/>
                <w:sz w:val="22"/>
                <w:szCs w:val="22"/>
              </w:rPr>
              <w:t>Institution partenaire</w:t>
            </w:r>
            <w:r w:rsidR="00C5469B" w:rsidRPr="00942927">
              <w:rPr>
                <w:rFonts w:ascii="Verdana" w:hAnsi="Verdana"/>
                <w:sz w:val="22"/>
                <w:szCs w:val="22"/>
              </w:rPr>
              <w:t xml:space="preserve">: </w:t>
            </w:r>
            <w:r w:rsidR="000C5546" w:rsidRPr="00942927">
              <w:rPr>
                <w:rStyle w:val="normaltextrun"/>
                <w:rFonts w:ascii="Verdana" w:hAnsi="Verdana"/>
                <w:color w:val="000000"/>
                <w:sz w:val="22"/>
                <w:szCs w:val="22"/>
              </w:rPr>
              <w:t>Institut National d’Assurance Maladie (INAM)</w:t>
            </w:r>
            <w:r w:rsidR="000C5546" w:rsidRPr="00942927">
              <w:rPr>
                <w:rStyle w:val="eop"/>
                <w:rFonts w:ascii="Verdana" w:hAnsi="Verdana"/>
                <w:sz w:val="22"/>
                <w:szCs w:val="22"/>
              </w:rPr>
              <w:t> </w:t>
            </w:r>
          </w:p>
          <w:p w14:paraId="5813720E" w14:textId="77777777" w:rsidR="00942927" w:rsidRDefault="00942927" w:rsidP="00942927">
            <w:pPr>
              <w:jc w:val="both"/>
              <w:rPr>
                <w:b/>
                <w:sz w:val="22"/>
                <w:szCs w:val="22"/>
              </w:rPr>
            </w:pPr>
          </w:p>
          <w:p w14:paraId="1C742786" w14:textId="721AC4EC" w:rsidR="000B4A74" w:rsidRPr="00942927" w:rsidRDefault="00A55E9E" w:rsidP="00942927">
            <w:pPr>
              <w:jc w:val="both"/>
              <w:rPr>
                <w:rFonts w:eastAsia="Calibri"/>
                <w:sz w:val="22"/>
                <w:szCs w:val="22"/>
              </w:rPr>
            </w:pPr>
            <w:r w:rsidRPr="00942927">
              <w:rPr>
                <w:b/>
                <w:sz w:val="22"/>
                <w:szCs w:val="22"/>
              </w:rPr>
              <w:t>Activité</w:t>
            </w:r>
            <w:r w:rsidR="00FF7E18" w:rsidRPr="00942927">
              <w:rPr>
                <w:b/>
                <w:sz w:val="22"/>
                <w:szCs w:val="22"/>
              </w:rPr>
              <w:t xml:space="preserve"> </w:t>
            </w:r>
            <w:r w:rsidR="00C22697" w:rsidRPr="00942927">
              <w:rPr>
                <w:b/>
                <w:sz w:val="22"/>
                <w:szCs w:val="22"/>
              </w:rPr>
              <w:t>1</w:t>
            </w:r>
            <w:r w:rsidR="008A10D5" w:rsidRPr="00942927">
              <w:rPr>
                <w:sz w:val="22"/>
                <w:szCs w:val="22"/>
              </w:rPr>
              <w:t xml:space="preserve"> </w:t>
            </w:r>
            <w:r w:rsidR="00E57D64" w:rsidRPr="00942927">
              <w:rPr>
                <w:i/>
                <w:sz w:val="22"/>
                <w:szCs w:val="22"/>
              </w:rPr>
              <w:t xml:space="preserve">– </w:t>
            </w:r>
            <w:r w:rsidR="00942927" w:rsidRPr="00942927">
              <w:rPr>
                <w:rStyle w:val="normaltextrun"/>
                <w:color w:val="000000"/>
                <w:sz w:val="22"/>
                <w:szCs w:val="22"/>
              </w:rPr>
              <w:t>Définition de cadres conventionnels avec prestataires de services médicaux</w:t>
            </w:r>
          </w:p>
          <w:p w14:paraId="6EA3E36B" w14:textId="080189A0" w:rsidR="00C5469B" w:rsidRPr="00942927" w:rsidRDefault="00A55E9E" w:rsidP="00942927">
            <w:pPr>
              <w:pStyle w:val="Paragraphedeliste"/>
              <w:numPr>
                <w:ilvl w:val="0"/>
                <w:numId w:val="3"/>
              </w:numPr>
              <w:contextualSpacing w:val="0"/>
              <w:jc w:val="both"/>
              <w:rPr>
                <w:sz w:val="22"/>
                <w:szCs w:val="22"/>
              </w:rPr>
            </w:pPr>
            <w:r w:rsidRPr="00942927">
              <w:rPr>
                <w:sz w:val="22"/>
                <w:szCs w:val="22"/>
              </w:rPr>
              <w:t xml:space="preserve">Lieu d’opération </w:t>
            </w:r>
            <w:r w:rsidR="00C5469B" w:rsidRPr="00942927">
              <w:rPr>
                <w:sz w:val="22"/>
                <w:szCs w:val="22"/>
              </w:rPr>
              <w:t xml:space="preserve">: </w:t>
            </w:r>
            <w:r w:rsidR="00942927" w:rsidRPr="00942927">
              <w:rPr>
                <w:sz w:val="22"/>
                <w:szCs w:val="22"/>
              </w:rPr>
              <w:t>Lomé</w:t>
            </w:r>
          </w:p>
          <w:p w14:paraId="7D3E8729" w14:textId="384BC9C7" w:rsidR="00C5469B" w:rsidRPr="00942927" w:rsidRDefault="00A55E9E" w:rsidP="00942927">
            <w:pPr>
              <w:pStyle w:val="Default"/>
              <w:numPr>
                <w:ilvl w:val="0"/>
                <w:numId w:val="3"/>
              </w:numPr>
              <w:spacing w:after="360"/>
              <w:jc w:val="both"/>
              <w:rPr>
                <w:b/>
                <w:color w:val="0070C0"/>
                <w:sz w:val="22"/>
                <w:szCs w:val="22"/>
                <w:highlight w:val="yellow"/>
              </w:rPr>
            </w:pPr>
            <w:r w:rsidRPr="00942927">
              <w:rPr>
                <w:sz w:val="22"/>
                <w:szCs w:val="22"/>
                <w:highlight w:val="yellow"/>
              </w:rPr>
              <w:t xml:space="preserve">Date de mise en </w:t>
            </w:r>
            <w:r w:rsidR="00C22697" w:rsidRPr="00942927">
              <w:rPr>
                <w:sz w:val="22"/>
                <w:szCs w:val="22"/>
                <w:highlight w:val="yellow"/>
              </w:rPr>
              <w:t>œuvre</w:t>
            </w:r>
            <w:r w:rsidRPr="00942927">
              <w:rPr>
                <w:sz w:val="22"/>
                <w:szCs w:val="22"/>
                <w:highlight w:val="yellow"/>
              </w:rPr>
              <w:t xml:space="preserve"> </w:t>
            </w:r>
            <w:r w:rsidR="00C5469B" w:rsidRPr="00942927">
              <w:rPr>
                <w:b/>
                <w:color w:val="0070C0"/>
                <w:sz w:val="22"/>
                <w:szCs w:val="22"/>
                <w:highlight w:val="yellow"/>
              </w:rPr>
              <w:t xml:space="preserve">: </w:t>
            </w:r>
            <w:r w:rsidR="00C22697" w:rsidRPr="00942927">
              <w:rPr>
                <w:b/>
                <w:color w:val="0070C0"/>
                <w:sz w:val="22"/>
                <w:szCs w:val="22"/>
                <w:highlight w:val="yellow"/>
              </w:rPr>
              <w:t>26 mars au 15 avril 2018</w:t>
            </w:r>
          </w:p>
          <w:p w14:paraId="530F5F88" w14:textId="77777777" w:rsidR="00942927" w:rsidRDefault="00942927" w:rsidP="00942927">
            <w:pPr>
              <w:jc w:val="both"/>
              <w:rPr>
                <w:b/>
                <w:sz w:val="22"/>
                <w:szCs w:val="22"/>
              </w:rPr>
            </w:pPr>
          </w:p>
          <w:p w14:paraId="62D429F3" w14:textId="017647D5" w:rsidR="00C5469B" w:rsidRPr="00942927" w:rsidRDefault="00A55E9E" w:rsidP="00942927">
            <w:pPr>
              <w:jc w:val="both"/>
              <w:rPr>
                <w:sz w:val="22"/>
                <w:szCs w:val="22"/>
              </w:rPr>
            </w:pPr>
            <w:r w:rsidRPr="00942927">
              <w:rPr>
                <w:b/>
                <w:sz w:val="22"/>
                <w:szCs w:val="22"/>
              </w:rPr>
              <w:t>Coordinateur responsable</w:t>
            </w:r>
            <w:r w:rsidR="00C5469B" w:rsidRPr="00942927">
              <w:rPr>
                <w:sz w:val="22"/>
                <w:szCs w:val="22"/>
              </w:rPr>
              <w:t xml:space="preserve">: </w:t>
            </w:r>
            <w:r w:rsidR="00E17C7E" w:rsidRPr="00942927">
              <w:rPr>
                <w:sz w:val="22"/>
                <w:szCs w:val="22"/>
              </w:rPr>
              <w:t>Gian Luca PORTACOLONE</w:t>
            </w:r>
          </w:p>
          <w:p w14:paraId="005A4B70" w14:textId="31AE686F" w:rsidR="00C5469B" w:rsidRPr="00942927" w:rsidRDefault="00A55E9E" w:rsidP="00942927">
            <w:pPr>
              <w:jc w:val="both"/>
              <w:rPr>
                <w:i/>
                <w:sz w:val="22"/>
                <w:szCs w:val="22"/>
              </w:rPr>
            </w:pPr>
            <w:r w:rsidRPr="00942927">
              <w:rPr>
                <w:b/>
                <w:sz w:val="22"/>
                <w:szCs w:val="22"/>
              </w:rPr>
              <w:t>Expert technique responsable</w:t>
            </w:r>
            <w:r w:rsidR="00C5469B" w:rsidRPr="00942927">
              <w:rPr>
                <w:sz w:val="22"/>
                <w:szCs w:val="22"/>
              </w:rPr>
              <w:t xml:space="preserve">: </w:t>
            </w:r>
            <w:r w:rsidR="00E17C7E" w:rsidRPr="00942927">
              <w:rPr>
                <w:sz w:val="22"/>
                <w:szCs w:val="22"/>
              </w:rPr>
              <w:t>Xavier COYER</w:t>
            </w:r>
          </w:p>
          <w:p w14:paraId="5B34D34F" w14:textId="77777777" w:rsidR="00313D02" w:rsidRPr="00942927" w:rsidRDefault="00313D02" w:rsidP="00942927">
            <w:pPr>
              <w:jc w:val="both"/>
              <w:rPr>
                <w:b/>
                <w:sz w:val="22"/>
                <w:szCs w:val="22"/>
              </w:rPr>
            </w:pPr>
          </w:p>
          <w:p w14:paraId="0FD0CB49" w14:textId="77777777" w:rsidR="00942927" w:rsidRDefault="00942927" w:rsidP="00942927">
            <w:pPr>
              <w:jc w:val="both"/>
              <w:rPr>
                <w:b/>
                <w:sz w:val="22"/>
                <w:szCs w:val="22"/>
              </w:rPr>
            </w:pPr>
          </w:p>
          <w:p w14:paraId="230CBA57" w14:textId="411F26B1" w:rsidR="00C5469B" w:rsidRPr="00942927" w:rsidRDefault="00A55E9E" w:rsidP="00942927">
            <w:pPr>
              <w:jc w:val="both"/>
              <w:rPr>
                <w:color w:val="0070C0"/>
                <w:sz w:val="22"/>
                <w:szCs w:val="22"/>
              </w:rPr>
            </w:pPr>
            <w:r w:rsidRPr="00942927">
              <w:rPr>
                <w:b/>
                <w:sz w:val="22"/>
                <w:szCs w:val="22"/>
              </w:rPr>
              <w:t>Date de publication</w:t>
            </w:r>
            <w:r w:rsidRPr="00942927">
              <w:rPr>
                <w:sz w:val="22"/>
                <w:szCs w:val="22"/>
              </w:rPr>
              <w:t xml:space="preserve"> </w:t>
            </w:r>
            <w:r w:rsidR="00C5469B" w:rsidRPr="00942927">
              <w:rPr>
                <w:sz w:val="22"/>
                <w:szCs w:val="22"/>
              </w:rPr>
              <w:t xml:space="preserve">: </w:t>
            </w:r>
            <w:r w:rsidR="00C22697" w:rsidRPr="00942927">
              <w:rPr>
                <w:sz w:val="22"/>
                <w:szCs w:val="22"/>
              </w:rPr>
              <w:t>19/02/2018</w:t>
            </w:r>
          </w:p>
          <w:p w14:paraId="1124285D" w14:textId="0A250404" w:rsidR="00C5469B" w:rsidRPr="005D0B8F" w:rsidRDefault="0020167B" w:rsidP="00942927">
            <w:pPr>
              <w:jc w:val="both"/>
              <w:rPr>
                <w:color w:val="0070C0"/>
              </w:rPr>
            </w:pPr>
            <w:r w:rsidRPr="00942927">
              <w:rPr>
                <w:b/>
                <w:sz w:val="22"/>
                <w:szCs w:val="22"/>
                <w:highlight w:val="yellow"/>
              </w:rPr>
              <w:t>Date limite</w:t>
            </w:r>
            <w:r w:rsidR="007C3899" w:rsidRPr="00942927">
              <w:rPr>
                <w:b/>
                <w:sz w:val="22"/>
                <w:szCs w:val="22"/>
                <w:highlight w:val="yellow"/>
              </w:rPr>
              <w:t xml:space="preserve"> de soumission des </w:t>
            </w:r>
            <w:r w:rsidR="008A10D5" w:rsidRPr="00942927">
              <w:rPr>
                <w:b/>
                <w:sz w:val="22"/>
                <w:szCs w:val="22"/>
                <w:highlight w:val="yellow"/>
              </w:rPr>
              <w:t>candidatures :</w:t>
            </w:r>
            <w:r w:rsidR="00C5469B" w:rsidRPr="00942927">
              <w:rPr>
                <w:b/>
                <w:sz w:val="22"/>
                <w:szCs w:val="22"/>
                <w:highlight w:val="yellow"/>
              </w:rPr>
              <w:t xml:space="preserve"> </w:t>
            </w:r>
            <w:r w:rsidR="000C5546" w:rsidRPr="00942927">
              <w:rPr>
                <w:b/>
                <w:color w:val="0070C0"/>
                <w:sz w:val="22"/>
                <w:szCs w:val="22"/>
                <w:highlight w:val="yellow"/>
              </w:rPr>
              <w:t>19/03/2018</w:t>
            </w:r>
          </w:p>
        </w:tc>
      </w:tr>
    </w:tbl>
    <w:p w14:paraId="66FE39B7" w14:textId="77777777" w:rsidR="00FC103D" w:rsidRPr="008247C2" w:rsidRDefault="00FC103D" w:rsidP="00C5469B"/>
    <w:p w14:paraId="41F91E63" w14:textId="77777777" w:rsidR="00FC103D" w:rsidRPr="008247C2" w:rsidRDefault="00FC103D" w:rsidP="00C5469B"/>
    <w:p w14:paraId="3DB8B5D6" w14:textId="77777777" w:rsidR="006A0A6B" w:rsidRPr="008247C2" w:rsidRDefault="006A0A6B" w:rsidP="00C5469B"/>
    <w:p w14:paraId="7224A0BD" w14:textId="77777777" w:rsidR="006A0A6B" w:rsidRPr="008247C2" w:rsidRDefault="006A0A6B" w:rsidP="00C5469B"/>
    <w:p w14:paraId="0237763D" w14:textId="77777777" w:rsidR="006A0A6B" w:rsidRPr="008247C2" w:rsidRDefault="006A0A6B" w:rsidP="00C5469B"/>
    <w:p w14:paraId="6EA85406" w14:textId="77777777" w:rsidR="006A0A6B" w:rsidRPr="008247C2" w:rsidRDefault="006A0A6B" w:rsidP="00C5469B">
      <w:pPr>
        <w:sectPr w:rsidR="006A0A6B" w:rsidRPr="008247C2"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14B71D8D" w:rsidR="00C75214" w:rsidRPr="008247C2" w:rsidRDefault="00710908" w:rsidP="00C75214">
      <w:pPr>
        <w:pStyle w:val="Titre1"/>
        <w:numPr>
          <w:ilvl w:val="0"/>
          <w:numId w:val="0"/>
        </w:numPr>
        <w:ind w:left="432" w:hanging="432"/>
        <w:rPr>
          <w:lang w:eastAsia="fr-FR"/>
        </w:rPr>
      </w:pPr>
      <w:r w:rsidRPr="008247C2">
        <w:rPr>
          <w:lang w:eastAsia="fr-FR"/>
        </w:rPr>
        <w:lastRenderedPageBreak/>
        <w:t>A PROPOS DE</w:t>
      </w:r>
      <w:r w:rsidR="00BA5B38" w:rsidRPr="008247C2">
        <w:rPr>
          <w:lang w:eastAsia="fr-FR"/>
        </w:rPr>
        <w:t xml:space="preserve"> SOCIEUX+</w:t>
      </w:r>
    </w:p>
    <w:p w14:paraId="1BCA3E08" w14:textId="77777777" w:rsidR="003D224C" w:rsidRPr="008247C2" w:rsidRDefault="003D224C" w:rsidP="003D224C">
      <w:pPr>
        <w:spacing w:after="0"/>
        <w:jc w:val="both"/>
        <w:rPr>
          <w:rFonts w:cs="Arial"/>
          <w:sz w:val="20"/>
          <w:lang w:eastAsia="fr-FR"/>
        </w:rPr>
      </w:pPr>
      <w:r w:rsidRPr="008247C2">
        <w:rPr>
          <w:rFonts w:cs="Arial"/>
          <w:sz w:val="20"/>
          <w:lang w:eastAsia="fr-FR"/>
        </w:rPr>
        <w:t>L'Union européenne (UE) encourage et soutient le dialogue sur la protection sociale et les politiques d'emploi inclusives dans un nombre accru de ses pays partenaires. Cet effort a été réaffirmé dans la Communication de la Commission européenne (</w:t>
      </w:r>
      <w:r w:rsidRPr="008247C2">
        <w:rPr>
          <w:rFonts w:cs="Arial"/>
          <w:i/>
          <w:sz w:val="20"/>
          <w:lang w:eastAsia="fr-FR"/>
        </w:rPr>
        <w:t>CE) COM (2016) 740 – « Proposition pour un nouveau consensus européen sur le développement - Notre monde, notre dignité, notre avenir</w:t>
      </w:r>
      <w:r w:rsidRPr="008247C2">
        <w:rPr>
          <w:rFonts w:cs="Arial"/>
          <w:sz w:val="20"/>
          <w:lang w:eastAsia="fr-FR"/>
        </w:rPr>
        <w:t xml:space="preserve"> ». Un nombre significatif d’interventions de coopération dans ces domaines est financé par des instruments géographiques ou thématiques de la CE. Toutefois, ces instruments ne répondaient pas entièrement aux besoins ponctuels d’assistance technique court terme et de coopération entre pairs nécessaires au développement de la protection sociale et de politiques de l’emploi inclusives dans les pays partenaires de l’UE. </w:t>
      </w:r>
    </w:p>
    <w:p w14:paraId="38BA6929" w14:textId="77777777" w:rsidR="003D224C" w:rsidRPr="008247C2" w:rsidRDefault="003D224C" w:rsidP="003D224C">
      <w:pPr>
        <w:spacing w:after="0"/>
        <w:jc w:val="both"/>
        <w:rPr>
          <w:rFonts w:cs="Arial"/>
          <w:sz w:val="20"/>
          <w:lang w:eastAsia="fr-FR"/>
        </w:rPr>
      </w:pPr>
    </w:p>
    <w:p w14:paraId="626122D5"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 Expertise de l’UE pour la protection sociale, le travail et l’emploi – est une facilité d'assistance technique établie et cofinancée par l'UE (à travers la Direction générale pour le développement et la coopération de la CE : </w:t>
      </w:r>
      <w:proofErr w:type="spellStart"/>
      <w:r w:rsidRPr="008247C2">
        <w:rPr>
          <w:rFonts w:cs="Arial"/>
          <w:sz w:val="20"/>
          <w:lang w:eastAsia="fr-FR"/>
        </w:rPr>
        <w:t>EuropeAid</w:t>
      </w:r>
      <w:proofErr w:type="spellEnd"/>
      <w:r w:rsidRPr="008247C2">
        <w:rPr>
          <w:rFonts w:cs="Arial"/>
          <w:sz w:val="20"/>
          <w:lang w:eastAsia="fr-FR"/>
        </w:rPr>
        <w:t xml:space="preserve">), la France, l'Espagne et la Belgique. La facilité est mise en œuvre par un partenariat composé de quatre institutions renommées de la coopération technique : </w:t>
      </w:r>
      <w:r w:rsidRPr="008247C2">
        <w:rPr>
          <w:rFonts w:cs="Arial"/>
          <w:i/>
          <w:sz w:val="20"/>
          <w:lang w:eastAsia="fr-FR"/>
        </w:rPr>
        <w:t>Expertise France</w:t>
      </w:r>
      <w:r w:rsidRPr="008247C2">
        <w:rPr>
          <w:rFonts w:cs="Arial"/>
          <w:sz w:val="20"/>
          <w:lang w:eastAsia="fr-FR"/>
        </w:rPr>
        <w:t xml:space="preserve"> (leader du partenariat) ; la </w:t>
      </w:r>
      <w:proofErr w:type="spellStart"/>
      <w:r w:rsidRPr="008247C2">
        <w:rPr>
          <w:rFonts w:cs="Arial"/>
          <w:i/>
          <w:sz w:val="20"/>
          <w:lang w:eastAsia="fr-FR"/>
        </w:rPr>
        <w:t>Fundación</w:t>
      </w:r>
      <w:proofErr w:type="spellEnd"/>
      <w:r w:rsidRPr="008247C2">
        <w:rPr>
          <w:rFonts w:cs="Arial"/>
          <w:i/>
          <w:sz w:val="20"/>
          <w:lang w:eastAsia="fr-FR"/>
        </w:rPr>
        <w:t xml:space="preserve"> Internacional y para </w:t>
      </w:r>
      <w:proofErr w:type="spellStart"/>
      <w:r w:rsidRPr="008247C2">
        <w:rPr>
          <w:rFonts w:cs="Arial"/>
          <w:i/>
          <w:sz w:val="20"/>
          <w:lang w:eastAsia="fr-FR"/>
        </w:rPr>
        <w:t>Iberoamérica</w:t>
      </w:r>
      <w:proofErr w:type="spellEnd"/>
      <w:r w:rsidRPr="008247C2">
        <w:rPr>
          <w:rFonts w:cs="Arial"/>
          <w:i/>
          <w:sz w:val="20"/>
          <w:lang w:eastAsia="fr-FR"/>
        </w:rPr>
        <w:t xml:space="preserve"> de </w:t>
      </w:r>
      <w:proofErr w:type="spellStart"/>
      <w:r w:rsidRPr="008247C2">
        <w:rPr>
          <w:rFonts w:cs="Arial"/>
          <w:i/>
          <w:sz w:val="20"/>
          <w:lang w:eastAsia="fr-FR"/>
        </w:rPr>
        <w:t>Administración</w:t>
      </w:r>
      <w:proofErr w:type="spellEnd"/>
      <w:r w:rsidRPr="008247C2">
        <w:rPr>
          <w:rFonts w:cs="Arial"/>
          <w:i/>
          <w:sz w:val="20"/>
          <w:lang w:eastAsia="fr-FR"/>
        </w:rPr>
        <w:t xml:space="preserve"> y </w:t>
      </w:r>
      <w:proofErr w:type="spellStart"/>
      <w:r w:rsidRPr="008247C2">
        <w:rPr>
          <w:rFonts w:cs="Arial"/>
          <w:i/>
          <w:sz w:val="20"/>
          <w:lang w:eastAsia="fr-FR"/>
        </w:rPr>
        <w:t>Políticas</w:t>
      </w:r>
      <w:proofErr w:type="spellEnd"/>
      <w:r w:rsidRPr="008247C2">
        <w:rPr>
          <w:rFonts w:cs="Arial"/>
          <w:i/>
          <w:sz w:val="20"/>
          <w:lang w:eastAsia="fr-FR"/>
        </w:rPr>
        <w:t xml:space="preserve"> </w:t>
      </w:r>
      <w:proofErr w:type="spellStart"/>
      <w:r w:rsidRPr="008247C2">
        <w:rPr>
          <w:rFonts w:cs="Arial"/>
          <w:i/>
          <w:sz w:val="20"/>
          <w:lang w:eastAsia="fr-FR"/>
        </w:rPr>
        <w:t>Públicas</w:t>
      </w:r>
      <w:proofErr w:type="spellEnd"/>
      <w:r w:rsidRPr="008247C2">
        <w:rPr>
          <w:rFonts w:cs="Arial"/>
          <w:sz w:val="20"/>
          <w:lang w:eastAsia="fr-FR"/>
        </w:rPr>
        <w:t xml:space="preserve"> (FIIAPP) ; la </w:t>
      </w:r>
      <w:proofErr w:type="spellStart"/>
      <w:r w:rsidRPr="008247C2">
        <w:rPr>
          <w:rFonts w:cs="Arial"/>
          <w:i/>
          <w:sz w:val="20"/>
          <w:lang w:eastAsia="fr-FR"/>
        </w:rPr>
        <w:t>Belgian</w:t>
      </w:r>
      <w:proofErr w:type="spellEnd"/>
      <w:r w:rsidRPr="008247C2">
        <w:rPr>
          <w:rFonts w:cs="Arial"/>
          <w:i/>
          <w:sz w:val="20"/>
          <w:lang w:eastAsia="fr-FR"/>
        </w:rPr>
        <w:t xml:space="preserve"> International </w:t>
      </w:r>
      <w:proofErr w:type="spellStart"/>
      <w:r w:rsidRPr="008247C2">
        <w:rPr>
          <w:rFonts w:cs="Arial"/>
          <w:i/>
          <w:sz w:val="20"/>
          <w:lang w:eastAsia="fr-FR"/>
        </w:rPr>
        <w:t>Cooperation</w:t>
      </w:r>
      <w:proofErr w:type="spellEnd"/>
      <w:r w:rsidRPr="008247C2">
        <w:rPr>
          <w:rFonts w:cs="Arial"/>
          <w:i/>
          <w:sz w:val="20"/>
          <w:lang w:eastAsia="fr-FR"/>
        </w:rPr>
        <w:t xml:space="preserve"> on Social Protection</w:t>
      </w:r>
      <w:r w:rsidRPr="008247C2">
        <w:rPr>
          <w:rFonts w:cs="Arial"/>
          <w:sz w:val="20"/>
          <w:lang w:eastAsia="fr-FR"/>
        </w:rPr>
        <w:t xml:space="preserve"> (Coopération belge sur la protection sociale ou BELINCOSOC) et la </w:t>
      </w:r>
      <w:r w:rsidRPr="008247C2">
        <w:rPr>
          <w:rFonts w:cs="Arial"/>
          <w:i/>
          <w:sz w:val="20"/>
          <w:lang w:eastAsia="fr-FR"/>
        </w:rPr>
        <w:t>Coopération Technique de Belgique</w:t>
      </w:r>
      <w:r w:rsidRPr="008247C2">
        <w:rPr>
          <w:rFonts w:cs="Arial"/>
          <w:sz w:val="20"/>
          <w:lang w:eastAsia="fr-FR"/>
        </w:rPr>
        <w:t xml:space="preserve"> (BTC/CTB). </w:t>
      </w:r>
    </w:p>
    <w:p w14:paraId="43823685" w14:textId="77777777" w:rsidR="003D224C" w:rsidRPr="008247C2" w:rsidRDefault="003D224C" w:rsidP="003D224C">
      <w:pPr>
        <w:spacing w:after="0"/>
        <w:jc w:val="both"/>
        <w:rPr>
          <w:rFonts w:cs="Arial"/>
          <w:sz w:val="20"/>
          <w:lang w:eastAsia="fr-FR"/>
        </w:rPr>
      </w:pPr>
    </w:p>
    <w:p w14:paraId="757270CB" w14:textId="77777777" w:rsidR="003D224C" w:rsidRPr="008247C2" w:rsidRDefault="003D224C" w:rsidP="003D224C">
      <w:pPr>
        <w:spacing w:after="0"/>
        <w:jc w:val="both"/>
        <w:rPr>
          <w:rFonts w:cs="Arial"/>
          <w:sz w:val="20"/>
          <w:lang w:eastAsia="fr-FR"/>
        </w:rPr>
      </w:pPr>
      <w:r w:rsidRPr="008247C2">
        <w:rPr>
          <w:rFonts w:cs="Arial"/>
          <w:sz w:val="20"/>
          <w:lang w:eastAsia="fr-FR"/>
        </w:rPr>
        <w:t>L'objectif général de SOCIEUX+ est d'étendre l'accès à de meilleures opportunités d'emploi et de renforcer les systèmes de protection sociale inclusifs dans les pays partenaires de l’UE. L'objectif spécifique de SOCIEUX+ est d'accroître les capacités des pays partenaires afin d'améliorer la conception, la gestion et l’évaluation de stratégies durables et efficaces en matière d’emploi. SOCIEUX+ vise aussi à renforcer et à étendre les systèmes de protection sociale inclusifs. Ces objectifs seront atteints grâce au renforcement des connaissances et à une assistance technique de court terme, de pairs à pairs.</w:t>
      </w:r>
    </w:p>
    <w:p w14:paraId="425E0BD7" w14:textId="77777777" w:rsidR="003D224C" w:rsidRPr="008247C2" w:rsidRDefault="003D224C" w:rsidP="003D224C">
      <w:pPr>
        <w:jc w:val="both"/>
        <w:rPr>
          <w:rFonts w:cs="Arial"/>
          <w:sz w:val="20"/>
          <w:lang w:eastAsia="fr-FR"/>
        </w:rPr>
      </w:pPr>
    </w:p>
    <w:p w14:paraId="2CF906C1" w14:textId="77777777" w:rsidR="003D224C" w:rsidRPr="008247C2" w:rsidRDefault="003D224C" w:rsidP="003D224C">
      <w:pPr>
        <w:jc w:val="both"/>
        <w:rPr>
          <w:rFonts w:cs="Arial"/>
          <w:sz w:val="20"/>
          <w:lang w:eastAsia="fr-FR"/>
        </w:rPr>
      </w:pPr>
      <w:r w:rsidRPr="008247C2">
        <w:rPr>
          <w:rFonts w:cs="Arial"/>
          <w:sz w:val="20"/>
          <w:lang w:eastAsia="fr-FR"/>
        </w:rPr>
        <w:t>La facilité SOCIEUX+ :</w:t>
      </w:r>
    </w:p>
    <w:p w14:paraId="6884F72C"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 xml:space="preserve">Reconnaît le rôle de la protection sociale et de l'emploi dans la réduction de la pauvreté et de la vulnérabilité ; </w:t>
      </w:r>
    </w:p>
    <w:p w14:paraId="500B43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Soutient les efforts des gouvernements des pays partenaires pour la promotion de systèmes durables et inclusifs pour l'emploi et la protection sociale ;</w:t>
      </w:r>
    </w:p>
    <w:p w14:paraId="5B3304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Vient compléter les initiatives de coopération de l'UE dans les domaines de la protection sociale, du travail et de l’emploi.</w:t>
      </w:r>
    </w:p>
    <w:p w14:paraId="4F4A1816" w14:textId="77777777" w:rsidR="003D224C" w:rsidRPr="008247C2" w:rsidRDefault="003D224C" w:rsidP="003D224C">
      <w:pPr>
        <w:spacing w:after="0"/>
        <w:jc w:val="both"/>
        <w:rPr>
          <w:rFonts w:cs="Arial"/>
          <w:sz w:val="20"/>
          <w:lang w:eastAsia="fr-FR"/>
        </w:rPr>
      </w:pPr>
    </w:p>
    <w:p w14:paraId="688AD1C4"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met à disposition des institutions partenaires de l'expertise européenne de haut niveau, mobilisée rapidement et par le biais de procédures simples. La facilité mobilise l'expertise d’organismes mandatés ou publics, des organisations non-gouvernementales, d'importantes organisations de la société civile des Etats membres de l'UE et des organisations internationales spécialisées. Elle peut aussi intervenir en mobilisant des professionnels de pays partenaires en complément de l’expertise européenne (coopération triangulaire). </w:t>
      </w:r>
    </w:p>
    <w:p w14:paraId="309E3AE0" w14:textId="77777777" w:rsidR="003D224C" w:rsidRPr="008247C2" w:rsidRDefault="003D224C" w:rsidP="003D224C">
      <w:pPr>
        <w:spacing w:after="0"/>
        <w:jc w:val="both"/>
        <w:rPr>
          <w:rFonts w:cs="Arial"/>
          <w:sz w:val="20"/>
          <w:lang w:eastAsia="fr-FR"/>
        </w:rPr>
      </w:pPr>
    </w:p>
    <w:p w14:paraId="1A6D5A43" w14:textId="578F7756" w:rsidR="003D224C" w:rsidRPr="008247C2" w:rsidRDefault="003D224C" w:rsidP="003D224C">
      <w:pPr>
        <w:spacing w:after="0"/>
        <w:jc w:val="both"/>
        <w:rPr>
          <w:rFonts w:cs="Arial"/>
          <w:sz w:val="20"/>
          <w:lang w:eastAsia="fr-FR"/>
        </w:rPr>
      </w:pPr>
      <w:r w:rsidRPr="008247C2">
        <w:rPr>
          <w:rFonts w:cs="Arial"/>
          <w:sz w:val="20"/>
          <w:lang w:eastAsia="fr-FR"/>
        </w:rPr>
        <w:t>SOCIEUX+ est opérationnelle depuis septembre 2016. Elle est une extension du p</w:t>
      </w:r>
      <w:bookmarkStart w:id="0" w:name="_Hlk481143789"/>
      <w:r w:rsidR="00E70F85" w:rsidRPr="008247C2">
        <w:rPr>
          <w:rFonts w:cs="Arial"/>
          <w:sz w:val="20"/>
          <w:lang w:eastAsia="fr-FR"/>
        </w:rPr>
        <w:t>rogramme SOCIEUX lancé en 2013.</w:t>
      </w:r>
    </w:p>
    <w:bookmarkEnd w:id="0"/>
    <w:p w14:paraId="7E411D99" w14:textId="361AA1F6" w:rsidR="003A55B0" w:rsidRPr="008247C2" w:rsidRDefault="00710908" w:rsidP="00652B37">
      <w:pPr>
        <w:pStyle w:val="Titre1"/>
        <w:numPr>
          <w:ilvl w:val="0"/>
          <w:numId w:val="9"/>
        </w:numPr>
        <w:spacing w:after="240"/>
      </w:pPr>
      <w:r w:rsidRPr="008247C2">
        <w:lastRenderedPageBreak/>
        <w:t>DESCRIPTION DE L’ACTION</w:t>
      </w:r>
    </w:p>
    <w:p w14:paraId="18119AF2" w14:textId="7E158A9E" w:rsidR="00BB5D30" w:rsidRPr="00D6045D" w:rsidRDefault="00BB5D30" w:rsidP="00D6045D">
      <w:pPr>
        <w:suppressAutoHyphens w:val="0"/>
        <w:autoSpaceDE w:val="0"/>
        <w:adjustRightInd w:val="0"/>
        <w:spacing w:after="60"/>
        <w:jc w:val="both"/>
        <w:textAlignment w:val="auto"/>
        <w:rPr>
          <w:rFonts w:eastAsiaTheme="minorHAnsi" w:cs="Verdana"/>
          <w:color w:val="000000"/>
          <w:szCs w:val="18"/>
        </w:rPr>
      </w:pPr>
      <w:r w:rsidRPr="00D6045D">
        <w:rPr>
          <w:rFonts w:eastAsiaTheme="minorHAnsi" w:cs="Verdana"/>
          <w:color w:val="000000"/>
          <w:szCs w:val="18"/>
        </w:rPr>
        <w:t>L’état de santé de la population togolaise reste précaire. Le système de santé du Togo n’a qu’un impact limité sur la santé de la population. Dans l’ensemble, les indicateurs notamment ceux de la santé maternelle et infanto-juvéniles n’ont connu que peu d’amélioration ou se sont parfois dégradés au cours de la dernière décennie en raison de l'environnement socio-économique peu favorable et de la détérioration de la qualité des prestations dans les établissements sanitaires, surtout ceux du secteur public. Toutefois, des progrès significatifs ont été enregistrés dans la lutte contre les maladies évitables par la vaccination et certaines maladies prioritaires des Objectifs du Millénaire pour le Développement (OMD).</w:t>
      </w:r>
    </w:p>
    <w:p w14:paraId="2CE2FEEA" w14:textId="77777777" w:rsidR="00BB5D30" w:rsidRPr="00D6045D" w:rsidRDefault="00BB5D30" w:rsidP="00D6045D">
      <w:pPr>
        <w:suppressAutoHyphens w:val="0"/>
        <w:autoSpaceDE w:val="0"/>
        <w:adjustRightInd w:val="0"/>
        <w:spacing w:after="60"/>
        <w:jc w:val="both"/>
        <w:textAlignment w:val="auto"/>
        <w:rPr>
          <w:rFonts w:eastAsiaTheme="minorHAnsi" w:cs="Verdana"/>
          <w:color w:val="000000"/>
          <w:szCs w:val="18"/>
        </w:rPr>
      </w:pPr>
    </w:p>
    <w:p w14:paraId="36F695F1" w14:textId="1B73CE1B" w:rsidR="00BB5D30" w:rsidRPr="00D6045D" w:rsidRDefault="00BB5D30" w:rsidP="00D6045D">
      <w:pPr>
        <w:suppressAutoHyphens w:val="0"/>
        <w:autoSpaceDE w:val="0"/>
        <w:adjustRightInd w:val="0"/>
        <w:spacing w:after="60"/>
        <w:jc w:val="both"/>
        <w:textAlignment w:val="auto"/>
        <w:rPr>
          <w:rFonts w:eastAsiaTheme="minorHAnsi" w:cs="Verdana"/>
          <w:color w:val="000000"/>
          <w:szCs w:val="18"/>
        </w:rPr>
      </w:pPr>
      <w:r w:rsidRPr="00D6045D">
        <w:rPr>
          <w:rFonts w:eastAsiaTheme="minorHAnsi" w:cs="Verdana"/>
          <w:color w:val="000000"/>
          <w:szCs w:val="18"/>
        </w:rPr>
        <w:t xml:space="preserve">A ce jour, il existe des initiatives qui prennent en compte la notion de couverture universelle notamment dans le domaine de la lutte contre le SIDA et du paludisme, mais une stratégie globale d’accès universel aux services des soins de qualité reste à implémenter. Les principales causes de la sous-utilisation des services de santé sont liées entre autres à la qualité insuffisante des soins et surtout à la faible accessibilité financière dans un contexte de cherté des soins. En effet, seulement un pourcentage minime (environ 5%) de la population est couvert par un mécanisme quelconque de sécurité sociale ou d’assurance santé, notamment les travailleurs du secteur public ou privé formel. </w:t>
      </w:r>
    </w:p>
    <w:p w14:paraId="0ABC509E" w14:textId="77777777" w:rsidR="00BB5D30" w:rsidRPr="00D6045D" w:rsidRDefault="00BB5D30" w:rsidP="00D6045D">
      <w:pPr>
        <w:suppressAutoHyphens w:val="0"/>
        <w:autoSpaceDE w:val="0"/>
        <w:adjustRightInd w:val="0"/>
        <w:spacing w:after="60"/>
        <w:jc w:val="both"/>
        <w:textAlignment w:val="auto"/>
        <w:rPr>
          <w:rFonts w:eastAsiaTheme="minorHAnsi" w:cs="Verdana"/>
          <w:color w:val="000000"/>
          <w:szCs w:val="18"/>
        </w:rPr>
      </w:pPr>
    </w:p>
    <w:p w14:paraId="7D7EE33C" w14:textId="1A7D8400" w:rsidR="003615D3" w:rsidRDefault="00BB5D30" w:rsidP="00D6045D">
      <w:pPr>
        <w:suppressAutoHyphens w:val="0"/>
        <w:autoSpaceDE w:val="0"/>
        <w:adjustRightInd w:val="0"/>
        <w:spacing w:after="60"/>
        <w:jc w:val="both"/>
        <w:textAlignment w:val="auto"/>
        <w:rPr>
          <w:rFonts w:eastAsiaTheme="minorHAnsi" w:cs="Verdana"/>
          <w:color w:val="000000"/>
          <w:szCs w:val="18"/>
        </w:rPr>
      </w:pPr>
      <w:r w:rsidRPr="00D6045D">
        <w:rPr>
          <w:rFonts w:eastAsiaTheme="minorHAnsi" w:cs="Verdana"/>
          <w:color w:val="000000"/>
          <w:szCs w:val="18"/>
        </w:rPr>
        <w:t>Dans le cadre de sa politique de protection sociale, l’Etat togolais a mis en place un régime obligatoire d’assurance maladie des agents publics et assimilés en 2011, assuré par l’INAM.</w:t>
      </w:r>
      <w:r w:rsidR="00D6045D" w:rsidRPr="00D6045D">
        <w:rPr>
          <w:rFonts w:eastAsiaTheme="minorHAnsi" w:cs="Verdana"/>
          <w:color w:val="000000"/>
          <w:szCs w:val="18"/>
        </w:rPr>
        <w:t xml:space="preserve"> Ce régime est considéré comme la première phase d’un processus dont l’objectif final est la couverture santé universelle</w:t>
      </w:r>
      <w:r w:rsidR="00D6045D">
        <w:rPr>
          <w:rFonts w:eastAsiaTheme="minorHAnsi" w:cs="Verdana"/>
          <w:color w:val="000000"/>
          <w:szCs w:val="18"/>
        </w:rPr>
        <w:t xml:space="preserve">. </w:t>
      </w:r>
      <w:r w:rsidR="00D6045D" w:rsidRPr="00D6045D">
        <w:rPr>
          <w:rFonts w:eastAsiaTheme="minorHAnsi" w:cs="Verdana"/>
          <w:color w:val="000000"/>
          <w:szCs w:val="18"/>
        </w:rPr>
        <w:t>L’INAM est un organisme doté de la personnalité juridique et de l’autonomie financière et administrative ; il a pour mission d’assurer la couverture des risques liés à la maladie, aux accidents et maladies non professionnels et à la maternité des bénéficiaires. A ce titre, l’INAM prend en charge la consultation, l’hospitalisation, la pharmacie, les actes médicaux et paramédicaux, la chirurgie, les analyses, l’imagerie, la grossesse et l’accouchement ainsi que les appareillages médicaux.</w:t>
      </w:r>
    </w:p>
    <w:p w14:paraId="5C3DC0A6" w14:textId="77777777" w:rsidR="00D6045D" w:rsidRPr="00D6045D" w:rsidRDefault="00D6045D" w:rsidP="00D6045D">
      <w:pPr>
        <w:suppressAutoHyphens w:val="0"/>
        <w:autoSpaceDE w:val="0"/>
        <w:adjustRightInd w:val="0"/>
        <w:spacing w:after="60"/>
        <w:jc w:val="both"/>
        <w:textAlignment w:val="auto"/>
        <w:rPr>
          <w:rFonts w:eastAsiaTheme="minorHAnsi" w:cs="Verdana"/>
          <w:color w:val="000000"/>
          <w:szCs w:val="18"/>
        </w:rPr>
      </w:pPr>
    </w:p>
    <w:p w14:paraId="2161E8F1" w14:textId="63F0151C" w:rsidR="00ED5404" w:rsidRDefault="00D6045D" w:rsidP="00D6045D">
      <w:pPr>
        <w:suppressAutoHyphens w:val="0"/>
        <w:autoSpaceDE w:val="0"/>
        <w:adjustRightInd w:val="0"/>
        <w:spacing w:after="0"/>
        <w:jc w:val="both"/>
        <w:textAlignment w:val="auto"/>
        <w:rPr>
          <w:rFonts w:eastAsiaTheme="minorHAnsi" w:cs="Verdana"/>
          <w:color w:val="000000"/>
          <w:szCs w:val="18"/>
        </w:rPr>
      </w:pPr>
      <w:r w:rsidRPr="00D6045D">
        <w:rPr>
          <w:rFonts w:eastAsiaTheme="minorHAnsi" w:cs="Verdana"/>
          <w:color w:val="000000"/>
          <w:szCs w:val="18"/>
        </w:rPr>
        <w:t>Dans le cadre de la précédente Action 2015-09 de SOCIEUX, un processus de renforcement des capacités internes à disposition de la Direction Générale de l’INAM a commencé. Basé sur un premier audit institutionnel, l’assistance technique a initialement concerné la planification stratégique de l’Institution ; ce même audit a mis en évidence la nécessité de renforcer les capacités d’analyse et de gestion du personnel de l’INAM. Le thème de la durabilité financière des prestations apparait comme l’un des plus cruciales.</w:t>
      </w:r>
    </w:p>
    <w:p w14:paraId="41C99710" w14:textId="77777777" w:rsidR="00BD24AF" w:rsidRPr="00D6045D" w:rsidRDefault="00BD24AF" w:rsidP="00D6045D">
      <w:pPr>
        <w:suppressAutoHyphens w:val="0"/>
        <w:autoSpaceDE w:val="0"/>
        <w:adjustRightInd w:val="0"/>
        <w:spacing w:after="0"/>
        <w:jc w:val="both"/>
        <w:textAlignment w:val="auto"/>
        <w:rPr>
          <w:rFonts w:eastAsiaTheme="minorHAnsi" w:cs="Verdana"/>
          <w:color w:val="000000"/>
          <w:szCs w:val="18"/>
        </w:rPr>
      </w:pPr>
    </w:p>
    <w:p w14:paraId="66A8A621" w14:textId="1D5086BE" w:rsidR="003A55B0" w:rsidRPr="00BD24AF" w:rsidRDefault="00710908" w:rsidP="00652B37">
      <w:pPr>
        <w:pStyle w:val="Titre2"/>
        <w:jc w:val="both"/>
        <w:rPr>
          <w:sz w:val="20"/>
          <w:szCs w:val="20"/>
        </w:rPr>
      </w:pPr>
      <w:r w:rsidRPr="00BD24AF">
        <w:rPr>
          <w:sz w:val="20"/>
          <w:szCs w:val="20"/>
        </w:rPr>
        <w:t>Objectif général</w:t>
      </w:r>
    </w:p>
    <w:p w14:paraId="6DB527C3" w14:textId="59C353B5" w:rsidR="00BD24AF" w:rsidRPr="00D6045D" w:rsidRDefault="00ED5404" w:rsidP="00D6045D">
      <w:pPr>
        <w:suppressAutoHyphens w:val="0"/>
        <w:autoSpaceDE w:val="0"/>
        <w:adjustRightInd w:val="0"/>
        <w:textAlignment w:val="auto"/>
        <w:rPr>
          <w:rFonts w:eastAsiaTheme="minorHAnsi" w:cs="Verdana"/>
          <w:szCs w:val="18"/>
        </w:rPr>
      </w:pPr>
      <w:r w:rsidRPr="00D6045D">
        <w:rPr>
          <w:rFonts w:eastAsiaTheme="minorHAnsi" w:cs="Verdana"/>
          <w:szCs w:val="18"/>
        </w:rPr>
        <w:t>Renforcer les capacités techniques de l’INAM afin de lui permettre de jouer son rôle de régulation et de gestionnaire du risque maladie dans le cadre du processus de développement de l’assurance maladie au Togo.</w:t>
      </w:r>
    </w:p>
    <w:p w14:paraId="7E7770D2" w14:textId="092596C2" w:rsidR="003A55B0" w:rsidRPr="00BD24AF" w:rsidRDefault="00710908" w:rsidP="00652B37">
      <w:pPr>
        <w:pStyle w:val="Titre2"/>
        <w:jc w:val="both"/>
        <w:rPr>
          <w:sz w:val="20"/>
          <w:szCs w:val="20"/>
        </w:rPr>
      </w:pPr>
      <w:r w:rsidRPr="00BD24AF">
        <w:rPr>
          <w:sz w:val="20"/>
          <w:szCs w:val="20"/>
        </w:rPr>
        <w:t>Objectifs spécifiques</w:t>
      </w:r>
    </w:p>
    <w:p w14:paraId="075FA9CE" w14:textId="4814998A" w:rsidR="00ED5404" w:rsidRPr="00D6045D" w:rsidRDefault="00ED5404" w:rsidP="00D6045D">
      <w:pPr>
        <w:suppressAutoHyphens w:val="0"/>
        <w:autoSpaceDE w:val="0"/>
        <w:adjustRightInd w:val="0"/>
        <w:textAlignment w:val="auto"/>
        <w:rPr>
          <w:rFonts w:eastAsiaTheme="minorHAnsi" w:cs="Verdana"/>
          <w:szCs w:val="18"/>
        </w:rPr>
      </w:pPr>
      <w:r w:rsidRPr="00D6045D">
        <w:rPr>
          <w:rFonts w:eastAsiaTheme="minorHAnsi" w:cs="Verdana"/>
          <w:szCs w:val="18"/>
        </w:rPr>
        <w:t>Contribuer à la durabilité financière de long-terme de l’INAM.</w:t>
      </w:r>
    </w:p>
    <w:p w14:paraId="3B6A6A99" w14:textId="0618EB17" w:rsidR="003A55B0" w:rsidRPr="00BD24AF" w:rsidRDefault="00710908" w:rsidP="00652B37">
      <w:pPr>
        <w:pStyle w:val="Titre2"/>
        <w:jc w:val="both"/>
        <w:rPr>
          <w:sz w:val="20"/>
          <w:szCs w:val="20"/>
        </w:rPr>
      </w:pPr>
      <w:r w:rsidRPr="00BD24AF">
        <w:rPr>
          <w:sz w:val="20"/>
          <w:szCs w:val="20"/>
        </w:rPr>
        <w:t>Résultats attendus</w:t>
      </w:r>
    </w:p>
    <w:p w14:paraId="0E20FA22" w14:textId="2D6C9EF4" w:rsidR="00ED5404" w:rsidRPr="00D6045D" w:rsidRDefault="00ED5404" w:rsidP="00ED5404">
      <w:pPr>
        <w:textAlignment w:val="auto"/>
        <w:rPr>
          <w:rFonts w:cs="Arial"/>
          <w:color w:val="000000" w:themeColor="text1"/>
          <w:szCs w:val="18"/>
          <w:lang w:eastAsia="en-GB"/>
        </w:rPr>
      </w:pPr>
      <w:r w:rsidRPr="00D6045D">
        <w:rPr>
          <w:rFonts w:cs="Arial"/>
          <w:color w:val="000000" w:themeColor="text1"/>
          <w:szCs w:val="18"/>
          <w:lang w:eastAsia="en-GB"/>
        </w:rPr>
        <w:t>Des capacités internes en vue de la contractualisation et la gestion des accords avec les prestataires de soins de santé sont développées.</w:t>
      </w:r>
    </w:p>
    <w:p w14:paraId="2228A8FE" w14:textId="693A0481" w:rsidR="00ED5404" w:rsidRPr="00D6045D" w:rsidRDefault="00ED5404" w:rsidP="00ED5404">
      <w:pPr>
        <w:textAlignment w:val="auto"/>
        <w:rPr>
          <w:rFonts w:cs="Arial"/>
          <w:color w:val="000000" w:themeColor="text1"/>
          <w:szCs w:val="18"/>
          <w:lang w:eastAsia="en-GB"/>
        </w:rPr>
      </w:pPr>
      <w:r w:rsidRPr="00D6045D">
        <w:rPr>
          <w:rFonts w:cs="Arial"/>
          <w:color w:val="000000" w:themeColor="text1"/>
          <w:szCs w:val="18"/>
          <w:lang w:eastAsia="en-GB"/>
        </w:rPr>
        <w:t>Des capacités internes pour l'évaluation du coût des procédures médicales par niveau de soins sont développées.</w:t>
      </w:r>
    </w:p>
    <w:p w14:paraId="6336A64F" w14:textId="32089CDB" w:rsidR="0079492F" w:rsidRPr="0081734D" w:rsidRDefault="00ED5404" w:rsidP="0081734D">
      <w:pPr>
        <w:textAlignment w:val="auto"/>
        <w:rPr>
          <w:rFonts w:cs="Arial"/>
          <w:color w:val="000000" w:themeColor="text1"/>
          <w:szCs w:val="18"/>
          <w:lang w:eastAsia="en-GB"/>
        </w:rPr>
      </w:pPr>
      <w:r w:rsidRPr="00D6045D">
        <w:rPr>
          <w:rFonts w:cs="Arial"/>
          <w:color w:val="000000" w:themeColor="text1"/>
          <w:szCs w:val="18"/>
          <w:lang w:eastAsia="en-GB"/>
        </w:rPr>
        <w:t>Des capacités internes dans le domaine de l’analyse économique et financière sont développées.</w:t>
      </w:r>
    </w:p>
    <w:p w14:paraId="62978681" w14:textId="203BABB1" w:rsidR="004F060B" w:rsidRPr="008247C2" w:rsidRDefault="009541D1" w:rsidP="00652B37">
      <w:pPr>
        <w:pStyle w:val="Titre1"/>
        <w:numPr>
          <w:ilvl w:val="0"/>
          <w:numId w:val="8"/>
        </w:numPr>
        <w:spacing w:line="240" w:lineRule="auto"/>
      </w:pPr>
      <w:r w:rsidRPr="008247C2">
        <w:t>RÔLE DE L’EXPERT</w:t>
      </w:r>
    </w:p>
    <w:p w14:paraId="54F10049" w14:textId="77777777" w:rsidR="00E00F2A" w:rsidRDefault="00E00F2A" w:rsidP="00E00F2A">
      <w:pPr>
        <w:pStyle w:val="Titre3"/>
        <w:ind w:left="0" w:firstLine="0"/>
      </w:pPr>
    </w:p>
    <w:p w14:paraId="163643AB" w14:textId="5C4EC68B" w:rsidR="006022A0" w:rsidRPr="008247C2" w:rsidRDefault="009541D1" w:rsidP="00E00F2A">
      <w:pPr>
        <w:pStyle w:val="Titre3"/>
        <w:ind w:left="0" w:firstLine="0"/>
        <w:jc w:val="both"/>
      </w:pPr>
      <w:r w:rsidRPr="008247C2">
        <w:t xml:space="preserve">Nombre d’experts </w:t>
      </w:r>
      <w:r w:rsidR="008247C2" w:rsidRPr="008247C2">
        <w:t>mobilisé</w:t>
      </w:r>
      <w:r w:rsidRPr="008247C2">
        <w:t>s et charge de travail</w:t>
      </w:r>
    </w:p>
    <w:p w14:paraId="293BEC1E" w14:textId="732AE98A" w:rsidR="00070375" w:rsidRPr="008645C0" w:rsidRDefault="00F62839" w:rsidP="00E00F2A">
      <w:pPr>
        <w:jc w:val="both"/>
        <w:rPr>
          <w:i/>
          <w:sz w:val="22"/>
          <w:szCs w:val="22"/>
        </w:rPr>
      </w:pPr>
      <w:r w:rsidRPr="008645C0">
        <w:rPr>
          <w:i/>
          <w:sz w:val="22"/>
          <w:szCs w:val="22"/>
        </w:rPr>
        <w:t>2</w:t>
      </w:r>
      <w:r w:rsidR="00070375" w:rsidRPr="008645C0">
        <w:rPr>
          <w:i/>
          <w:sz w:val="22"/>
          <w:szCs w:val="22"/>
        </w:rPr>
        <w:t xml:space="preserve"> experts</w:t>
      </w:r>
      <w:r w:rsidR="00335E0C" w:rsidRPr="008645C0">
        <w:rPr>
          <w:i/>
          <w:sz w:val="22"/>
          <w:szCs w:val="22"/>
        </w:rPr>
        <w:t xml:space="preserve"> </w:t>
      </w:r>
      <w:r w:rsidR="009541D1" w:rsidRPr="008645C0">
        <w:rPr>
          <w:i/>
          <w:sz w:val="22"/>
          <w:szCs w:val="22"/>
        </w:rPr>
        <w:t>seront mobilisés</w:t>
      </w:r>
    </w:p>
    <w:p w14:paraId="31AFCF0C" w14:textId="4782B291" w:rsidR="008247C2" w:rsidRDefault="00F62839" w:rsidP="00E00F2A">
      <w:pPr>
        <w:spacing w:after="240"/>
        <w:jc w:val="both"/>
        <w:rPr>
          <w:i/>
          <w:color w:val="000000" w:themeColor="text1"/>
          <w:sz w:val="22"/>
          <w:szCs w:val="22"/>
        </w:rPr>
      </w:pPr>
      <w:r w:rsidRPr="008645C0">
        <w:rPr>
          <w:i/>
          <w:color w:val="000000" w:themeColor="text1"/>
          <w:sz w:val="22"/>
          <w:szCs w:val="22"/>
        </w:rPr>
        <w:t xml:space="preserve">Il est attribué </w:t>
      </w:r>
      <w:r w:rsidR="0081734D">
        <w:rPr>
          <w:i/>
          <w:color w:val="000000" w:themeColor="text1"/>
          <w:sz w:val="22"/>
          <w:szCs w:val="22"/>
        </w:rPr>
        <w:t>23</w:t>
      </w:r>
      <w:r w:rsidRPr="008645C0">
        <w:rPr>
          <w:i/>
          <w:color w:val="000000" w:themeColor="text1"/>
          <w:sz w:val="22"/>
          <w:szCs w:val="22"/>
        </w:rPr>
        <w:t xml:space="preserve"> jours de travail à chacun des deux experts</w:t>
      </w:r>
    </w:p>
    <w:p w14:paraId="43A20622" w14:textId="77777777" w:rsidR="00E76C97" w:rsidRPr="008645C0" w:rsidRDefault="00E76C97" w:rsidP="00E00F2A">
      <w:pPr>
        <w:spacing w:after="240"/>
        <w:jc w:val="both"/>
        <w:rPr>
          <w:i/>
          <w:color w:val="000000" w:themeColor="text1"/>
          <w:sz w:val="22"/>
          <w:szCs w:val="22"/>
        </w:rPr>
      </w:pPr>
    </w:p>
    <w:p w14:paraId="32646423" w14:textId="18886E36" w:rsidR="003A55B0" w:rsidRPr="008247C2" w:rsidRDefault="009541D1" w:rsidP="00E00F2A">
      <w:pPr>
        <w:pStyle w:val="Titre3"/>
        <w:spacing w:after="240"/>
        <w:jc w:val="both"/>
      </w:pPr>
      <w:r w:rsidRPr="008247C2">
        <w:t>Tâches</w:t>
      </w:r>
    </w:p>
    <w:p w14:paraId="48A85349" w14:textId="77777777" w:rsidR="00BF525B" w:rsidRPr="00F55193" w:rsidRDefault="00BF525B" w:rsidP="00B95DB0">
      <w:pPr>
        <w:pStyle w:val="Paragraphedeliste"/>
        <w:tabs>
          <w:tab w:val="left" w:pos="1310"/>
        </w:tabs>
        <w:contextualSpacing w:val="0"/>
        <w:jc w:val="both"/>
        <w:rPr>
          <w:rFonts w:cs="Arial"/>
          <w:sz w:val="20"/>
          <w:u w:val="single"/>
        </w:rPr>
      </w:pPr>
      <w:bookmarkStart w:id="1" w:name="_Toc476313585"/>
      <w:r w:rsidRPr="00F55193">
        <w:rPr>
          <w:rFonts w:cs="Arial"/>
          <w:sz w:val="20"/>
          <w:u w:val="single"/>
        </w:rPr>
        <w:t>Tâches générales</w:t>
      </w:r>
    </w:p>
    <w:p w14:paraId="7C900609" w14:textId="77777777" w:rsidR="00BF525B" w:rsidRPr="009849B6" w:rsidRDefault="00BF525B" w:rsidP="00B95DB0">
      <w:pPr>
        <w:pStyle w:val="Paragraphedeliste"/>
        <w:tabs>
          <w:tab w:val="left" w:pos="1310"/>
        </w:tabs>
        <w:contextualSpacing w:val="0"/>
        <w:jc w:val="both"/>
        <w:rPr>
          <w:rFonts w:cs="Arial"/>
          <w:sz w:val="20"/>
        </w:rPr>
      </w:pPr>
      <w:r>
        <w:rPr>
          <w:rFonts w:cs="Arial"/>
          <w:sz w:val="20"/>
        </w:rPr>
        <w:t xml:space="preserve">• </w:t>
      </w:r>
      <w:r w:rsidRPr="009849B6">
        <w:rPr>
          <w:rFonts w:cs="Arial"/>
          <w:sz w:val="20"/>
        </w:rPr>
        <w:t>Des contacts préliminaires avec le Partenaire en vue de la définition de la méthodologie et l'agenda de l'assistance technique, à transmettre avant la mission à l'équipe SOCIEUX+ ;</w:t>
      </w:r>
    </w:p>
    <w:p w14:paraId="3C448466" w14:textId="77777777" w:rsidR="00BF525B" w:rsidRPr="009849B6"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w:t>
      </w:r>
      <w:r w:rsidRPr="009849B6">
        <w:rPr>
          <w:rFonts w:cs="Arial"/>
          <w:sz w:val="20"/>
        </w:rPr>
        <w:t>Participer au briefing pré-départ avec l'équipe SOCIEUX+ ;</w:t>
      </w:r>
    </w:p>
    <w:p w14:paraId="2B982415" w14:textId="77777777" w:rsidR="00BF525B" w:rsidRPr="009849B6"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w:t>
      </w:r>
      <w:r w:rsidRPr="009849B6">
        <w:rPr>
          <w:rFonts w:cs="Arial"/>
          <w:sz w:val="20"/>
        </w:rPr>
        <w:t>Faciliter, dans la mesure du possible, une dynamique de coopération qui vise le renforcement des capacités individuelles et institutionnelles ;</w:t>
      </w:r>
    </w:p>
    <w:p w14:paraId="06AD0A1B" w14:textId="77777777" w:rsidR="00BF525B"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w:t>
      </w:r>
      <w:r w:rsidRPr="009849B6">
        <w:rPr>
          <w:rFonts w:cs="Arial"/>
          <w:sz w:val="20"/>
        </w:rPr>
        <w:t>Présenter au Partenaire les résultats en fin de mission, lui permettant d'exprimer ses points de vue avant la finalisation des livrables;</w:t>
      </w:r>
    </w:p>
    <w:p w14:paraId="3769646F" w14:textId="77777777" w:rsidR="00BF525B"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Coordonner la méthodologie et le déroulement de l’assistance technique avec la Délégation de l’UE à Lomé, afin d’assurer toute cohérence entre l’apport de SOCIEUX+ et d’autres missions d’assistance technique en cours, en particulier avec les résultats et recommandations formulées dans le cadre de la mission de Mme </w:t>
      </w:r>
      <w:proofErr w:type="spellStart"/>
      <w:r>
        <w:rPr>
          <w:rFonts w:cs="Arial"/>
          <w:sz w:val="20"/>
        </w:rPr>
        <w:t>Ursu</w:t>
      </w:r>
      <w:proofErr w:type="spellEnd"/>
      <w:r>
        <w:rPr>
          <w:rFonts w:cs="Arial"/>
          <w:sz w:val="20"/>
        </w:rPr>
        <w:t xml:space="preserve"> de </w:t>
      </w:r>
      <w:proofErr w:type="spellStart"/>
      <w:r>
        <w:rPr>
          <w:rFonts w:cs="Arial"/>
          <w:sz w:val="20"/>
        </w:rPr>
        <w:t>MappingHealth</w:t>
      </w:r>
      <w:proofErr w:type="spellEnd"/>
      <w:r>
        <w:rPr>
          <w:rFonts w:cs="Arial"/>
          <w:sz w:val="20"/>
        </w:rPr>
        <w:t>, déjà mentionnée ;</w:t>
      </w:r>
    </w:p>
    <w:p w14:paraId="613EB9C2" w14:textId="77777777" w:rsidR="00BF525B"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w:t>
      </w:r>
      <w:r w:rsidRPr="009849B6">
        <w:rPr>
          <w:rFonts w:cs="Arial"/>
          <w:sz w:val="20"/>
        </w:rPr>
        <w:t>Soumission des livrables attendus de l'activité (10 jours ouvrables après la fin de la mission).</w:t>
      </w:r>
    </w:p>
    <w:p w14:paraId="3E693399" w14:textId="77777777" w:rsidR="00BF525B" w:rsidRDefault="00BF525B" w:rsidP="00B95DB0">
      <w:pPr>
        <w:pStyle w:val="Paragraphedeliste"/>
        <w:tabs>
          <w:tab w:val="left" w:pos="1310"/>
        </w:tabs>
        <w:contextualSpacing w:val="0"/>
        <w:jc w:val="both"/>
        <w:rPr>
          <w:rFonts w:cs="Arial"/>
          <w:sz w:val="20"/>
          <w:u w:val="single"/>
        </w:rPr>
      </w:pPr>
    </w:p>
    <w:p w14:paraId="64ED528A" w14:textId="77777777" w:rsidR="00BF525B" w:rsidRDefault="00BF525B" w:rsidP="00B95DB0">
      <w:pPr>
        <w:pStyle w:val="Paragraphedeliste"/>
        <w:tabs>
          <w:tab w:val="left" w:pos="1310"/>
        </w:tabs>
        <w:contextualSpacing w:val="0"/>
        <w:jc w:val="both"/>
        <w:rPr>
          <w:rFonts w:cs="Arial"/>
          <w:sz w:val="20"/>
          <w:u w:val="single"/>
        </w:rPr>
      </w:pPr>
      <w:r w:rsidRPr="00F55193">
        <w:rPr>
          <w:rFonts w:cs="Arial"/>
          <w:sz w:val="20"/>
          <w:u w:val="single"/>
        </w:rPr>
        <w:t>Tâches spécifiques</w:t>
      </w:r>
    </w:p>
    <w:p w14:paraId="7F846FCA" w14:textId="77777777" w:rsidR="00BF525B" w:rsidRPr="00550D85" w:rsidRDefault="00BF525B" w:rsidP="00B95DB0">
      <w:pPr>
        <w:pStyle w:val="Paragraphedeliste"/>
        <w:tabs>
          <w:tab w:val="left" w:pos="1310"/>
        </w:tabs>
        <w:contextualSpacing w:val="0"/>
        <w:jc w:val="both"/>
        <w:rPr>
          <w:rFonts w:cs="Arial"/>
          <w:sz w:val="20"/>
        </w:rPr>
      </w:pPr>
      <w:r w:rsidRPr="00550D85">
        <w:rPr>
          <w:rFonts w:cs="Arial"/>
          <w:sz w:val="20"/>
        </w:rPr>
        <w:t>• Prise de connaissance du contexte (documents fournis par SOCIEUX+, livrables de l’Action 2015-09, texte législatifs et normatifs, autres documents et analyses de partenaires de développement agissant au Togo, …) ;</w:t>
      </w:r>
    </w:p>
    <w:p w14:paraId="16C19BA9" w14:textId="77777777" w:rsidR="00BF525B" w:rsidRPr="00550D85" w:rsidRDefault="00BF525B" w:rsidP="00B95DB0">
      <w:pPr>
        <w:pStyle w:val="Paragraphedeliste"/>
        <w:tabs>
          <w:tab w:val="left" w:pos="1310"/>
        </w:tabs>
        <w:contextualSpacing w:val="0"/>
        <w:jc w:val="both"/>
        <w:rPr>
          <w:rFonts w:cs="Arial"/>
          <w:sz w:val="20"/>
        </w:rPr>
      </w:pPr>
      <w:r w:rsidRPr="00550D85">
        <w:rPr>
          <w:rFonts w:cs="Arial"/>
          <w:sz w:val="20"/>
        </w:rPr>
        <w:t>• Préparation et présentation de cas et pratiques au sujet du conventionnement entre agents assureurs et prestataires de services de santé ;</w:t>
      </w:r>
    </w:p>
    <w:p w14:paraId="1C7D5EDD" w14:textId="77777777" w:rsidR="00BF525B" w:rsidRPr="00550D85" w:rsidRDefault="00BF525B" w:rsidP="00B95DB0">
      <w:pPr>
        <w:pStyle w:val="Paragraphedeliste"/>
        <w:tabs>
          <w:tab w:val="left" w:pos="1310"/>
        </w:tabs>
        <w:contextualSpacing w:val="0"/>
        <w:jc w:val="both"/>
        <w:rPr>
          <w:rFonts w:cs="Arial"/>
          <w:sz w:val="20"/>
        </w:rPr>
      </w:pPr>
      <w:r w:rsidRPr="00550D85">
        <w:rPr>
          <w:rFonts w:cs="Arial"/>
          <w:sz w:val="20"/>
        </w:rPr>
        <w:t>• Analyse des cadres conventionnels actuellement en vigueur entre INAM et prestataires de services ; recommandations générales en vue d’une leur amélioration ;</w:t>
      </w:r>
    </w:p>
    <w:p w14:paraId="10AD0E2B" w14:textId="77777777" w:rsidR="00BF525B" w:rsidRPr="00550D85" w:rsidRDefault="00BF525B" w:rsidP="00B95DB0">
      <w:pPr>
        <w:pStyle w:val="Paragraphedeliste"/>
        <w:tabs>
          <w:tab w:val="left" w:pos="1310"/>
        </w:tabs>
        <w:contextualSpacing w:val="0"/>
        <w:jc w:val="both"/>
        <w:rPr>
          <w:rFonts w:cs="Arial"/>
          <w:sz w:val="20"/>
        </w:rPr>
      </w:pPr>
      <w:r w:rsidRPr="00550D85">
        <w:rPr>
          <w:rFonts w:cs="Arial"/>
          <w:sz w:val="20"/>
        </w:rPr>
        <w:t>• Préparation et conduite d’une session d’information / formation au sujet de la définition et de la gestion de cadres conventionnels.</w:t>
      </w:r>
    </w:p>
    <w:bookmarkEnd w:id="1"/>
    <w:p w14:paraId="4BAFBF40" w14:textId="77777777" w:rsidR="004F773C" w:rsidRDefault="004F773C" w:rsidP="008645C0">
      <w:pPr>
        <w:suppressAutoHyphens w:val="0"/>
        <w:autoSpaceDE w:val="0"/>
        <w:adjustRightInd w:val="0"/>
        <w:spacing w:after="36"/>
        <w:jc w:val="both"/>
        <w:textAlignment w:val="auto"/>
        <w:rPr>
          <w:noProof/>
          <w:sz w:val="22"/>
          <w:szCs w:val="22"/>
        </w:rPr>
      </w:pPr>
    </w:p>
    <w:p w14:paraId="3C9578A7" w14:textId="77777777" w:rsidR="00BF525B" w:rsidRDefault="00BF525B" w:rsidP="008645C0">
      <w:pPr>
        <w:suppressAutoHyphens w:val="0"/>
        <w:autoSpaceDE w:val="0"/>
        <w:adjustRightInd w:val="0"/>
        <w:spacing w:after="36"/>
        <w:jc w:val="both"/>
        <w:textAlignment w:val="auto"/>
        <w:rPr>
          <w:noProof/>
          <w:sz w:val="22"/>
          <w:szCs w:val="22"/>
        </w:rPr>
      </w:pPr>
    </w:p>
    <w:p w14:paraId="4D428120" w14:textId="77777777" w:rsidR="00BF525B" w:rsidRDefault="00BF525B" w:rsidP="008645C0">
      <w:pPr>
        <w:suppressAutoHyphens w:val="0"/>
        <w:autoSpaceDE w:val="0"/>
        <w:adjustRightInd w:val="0"/>
        <w:spacing w:after="36"/>
        <w:jc w:val="both"/>
        <w:textAlignment w:val="auto"/>
        <w:rPr>
          <w:rFonts w:eastAsiaTheme="minorHAnsi" w:cs="Verdana"/>
          <w:color w:val="000000"/>
        </w:rPr>
      </w:pPr>
    </w:p>
    <w:p w14:paraId="01F50B40" w14:textId="77777777" w:rsidR="00582511" w:rsidRDefault="00582511" w:rsidP="003216F5">
      <w:pPr>
        <w:pStyle w:val="Titre3"/>
        <w:ind w:left="0" w:firstLine="0"/>
        <w:jc w:val="both"/>
        <w:rPr>
          <w:rFonts w:eastAsiaTheme="minorHAnsi" w:cs="Verdana"/>
          <w:b w:val="0"/>
          <w:color w:val="000000"/>
          <w:sz w:val="18"/>
          <w:u w:val="none"/>
        </w:rPr>
      </w:pPr>
    </w:p>
    <w:p w14:paraId="7F10135E" w14:textId="6AF8F7B0" w:rsidR="003A55B0" w:rsidRPr="008247C2" w:rsidRDefault="009541D1" w:rsidP="003216F5">
      <w:pPr>
        <w:pStyle w:val="Titre3"/>
        <w:ind w:left="0" w:firstLine="0"/>
        <w:jc w:val="both"/>
      </w:pPr>
      <w:r w:rsidRPr="008247C2">
        <w:t>Livrables</w:t>
      </w:r>
    </w:p>
    <w:p w14:paraId="65C1ACBA" w14:textId="77777777" w:rsidR="00B95DB0" w:rsidRPr="0088619E" w:rsidRDefault="00B95DB0" w:rsidP="00B95DB0">
      <w:pPr>
        <w:rPr>
          <w:rFonts w:cs="Arial"/>
          <w:sz w:val="20"/>
          <w:u w:val="single"/>
          <w:lang w:val="fr-BE"/>
        </w:rPr>
      </w:pPr>
      <w:r w:rsidRPr="0088619E">
        <w:rPr>
          <w:rFonts w:cs="Arial"/>
          <w:sz w:val="20"/>
          <w:u w:val="single"/>
          <w:lang w:val="fr-BE"/>
        </w:rPr>
        <w:t>Livrables intermédiaires</w:t>
      </w:r>
    </w:p>
    <w:p w14:paraId="520C364F" w14:textId="77777777" w:rsidR="00B95DB0" w:rsidRPr="00F55193" w:rsidRDefault="00B95DB0" w:rsidP="00B95DB0">
      <w:pPr>
        <w:rPr>
          <w:rFonts w:cs="Arial"/>
          <w:sz w:val="20"/>
        </w:rPr>
      </w:pPr>
      <w:r w:rsidRPr="00F55193">
        <w:rPr>
          <w:rFonts w:cs="Arial"/>
          <w:sz w:val="20"/>
        </w:rPr>
        <w:t>•</w:t>
      </w:r>
      <w:r>
        <w:rPr>
          <w:rFonts w:cs="Arial"/>
          <w:sz w:val="20"/>
        </w:rPr>
        <w:t xml:space="preserve"> </w:t>
      </w:r>
      <w:r w:rsidRPr="00F55193">
        <w:rPr>
          <w:rFonts w:cs="Arial"/>
          <w:sz w:val="20"/>
        </w:rPr>
        <w:t>Une note méthodologique incluant une analyse des risques (3 pages maximum);</w:t>
      </w:r>
    </w:p>
    <w:p w14:paraId="398C4D44" w14:textId="77777777" w:rsidR="00B95DB0" w:rsidRPr="00F55193" w:rsidRDefault="00B95DB0" w:rsidP="00B95DB0">
      <w:pPr>
        <w:rPr>
          <w:rFonts w:cs="Arial"/>
          <w:sz w:val="20"/>
        </w:rPr>
      </w:pPr>
      <w:r w:rsidRPr="00F55193">
        <w:rPr>
          <w:rFonts w:cs="Arial"/>
          <w:sz w:val="20"/>
        </w:rPr>
        <w:t>•</w:t>
      </w:r>
      <w:r>
        <w:rPr>
          <w:rFonts w:cs="Arial"/>
          <w:sz w:val="20"/>
        </w:rPr>
        <w:t xml:space="preserve"> </w:t>
      </w:r>
      <w:r w:rsidRPr="00F55193">
        <w:rPr>
          <w:rFonts w:cs="Arial"/>
          <w:sz w:val="20"/>
        </w:rPr>
        <w:t>Un agenda de la mission convenu avec le partenaire (réunions, personnes impliquées).</w:t>
      </w:r>
    </w:p>
    <w:p w14:paraId="4AEF915A" w14:textId="77777777" w:rsidR="00B95DB0" w:rsidRDefault="00B95DB0" w:rsidP="00B95DB0">
      <w:pPr>
        <w:rPr>
          <w:rFonts w:cs="Arial"/>
          <w:sz w:val="20"/>
          <w:u w:val="single"/>
        </w:rPr>
      </w:pPr>
    </w:p>
    <w:p w14:paraId="567CF801" w14:textId="77777777" w:rsidR="00B95DB0" w:rsidRPr="00F55193" w:rsidRDefault="00B95DB0" w:rsidP="00B95DB0">
      <w:pPr>
        <w:rPr>
          <w:rFonts w:cs="Arial"/>
          <w:sz w:val="20"/>
          <w:u w:val="single"/>
        </w:rPr>
      </w:pPr>
      <w:r w:rsidRPr="00F55193">
        <w:rPr>
          <w:rFonts w:cs="Arial"/>
          <w:sz w:val="20"/>
          <w:u w:val="single"/>
        </w:rPr>
        <w:t>Livrables finaux :</w:t>
      </w:r>
    </w:p>
    <w:p w14:paraId="13431116" w14:textId="428FC980" w:rsidR="00B95DB0" w:rsidRPr="003216F5" w:rsidRDefault="00B95DB0" w:rsidP="003216F5">
      <w:pPr>
        <w:pStyle w:val="Paragraphedeliste"/>
        <w:numPr>
          <w:ilvl w:val="0"/>
          <w:numId w:val="33"/>
        </w:numPr>
        <w:jc w:val="both"/>
        <w:rPr>
          <w:rFonts w:cs="Arial"/>
          <w:sz w:val="20"/>
        </w:rPr>
      </w:pPr>
      <w:r w:rsidRPr="003216F5">
        <w:rPr>
          <w:rFonts w:cs="Arial"/>
          <w:sz w:val="20"/>
        </w:rPr>
        <w:t>Un rapport d’orientation des conventions entre agents assureurs et prestataires de services. D’une part, le rapport analysera les outils conventionnels actuellement utilisés par INAM et formulera des recommandations générales visant à leur amélioration ; d’autre part, il présentera des règles et des bonnes pratiques d’application générale en vue de la mise en place de futures conventions.</w:t>
      </w:r>
    </w:p>
    <w:p w14:paraId="334A19CC" w14:textId="77777777" w:rsidR="003216F5" w:rsidRDefault="00B95DB0" w:rsidP="003216F5">
      <w:pPr>
        <w:pStyle w:val="Paragraphedeliste"/>
        <w:numPr>
          <w:ilvl w:val="0"/>
          <w:numId w:val="32"/>
        </w:numPr>
        <w:jc w:val="both"/>
        <w:rPr>
          <w:rFonts w:cs="Arial"/>
          <w:sz w:val="20"/>
        </w:rPr>
      </w:pPr>
      <w:r w:rsidRPr="003216F5">
        <w:rPr>
          <w:rFonts w:cs="Arial"/>
          <w:sz w:val="20"/>
        </w:rPr>
        <w:t>Une formation aux outils et approches de négociation, gestion et suivi des conventions entre agents assureurs et prestataires de services. Cela inclura l’organisation (agenda) et les matériaux de la formation, ainsi que des fiches d’évaluation remplies par les participants. La formation portera non seulement sur la présentation de règles et pratiques de conventionnement, mais abordera égal</w:t>
      </w:r>
      <w:r w:rsidR="003216F5">
        <w:rPr>
          <w:rFonts w:cs="Arial"/>
          <w:sz w:val="20"/>
        </w:rPr>
        <w:t>ement l’aspect « négociation ».</w:t>
      </w:r>
    </w:p>
    <w:p w14:paraId="250BA617" w14:textId="3CCC8811" w:rsidR="00B95DB0" w:rsidRPr="003216F5" w:rsidRDefault="00B95DB0" w:rsidP="003216F5">
      <w:pPr>
        <w:pStyle w:val="Paragraphedeliste"/>
        <w:numPr>
          <w:ilvl w:val="0"/>
          <w:numId w:val="32"/>
        </w:numPr>
        <w:jc w:val="both"/>
        <w:rPr>
          <w:rFonts w:cs="Arial"/>
          <w:sz w:val="20"/>
        </w:rPr>
      </w:pPr>
      <w:proofErr w:type="spellStart"/>
      <w:r w:rsidRPr="003216F5">
        <w:rPr>
          <w:rFonts w:cs="Arial"/>
          <w:sz w:val="20"/>
        </w:rPr>
        <w:t>ExMR</w:t>
      </w:r>
      <w:proofErr w:type="spellEnd"/>
      <w:r w:rsidRPr="003216F5">
        <w:rPr>
          <w:rFonts w:cs="Arial"/>
          <w:sz w:val="20"/>
        </w:rPr>
        <w:t xml:space="preserve"> : rapport de mission conjoint des experts.</w:t>
      </w:r>
    </w:p>
    <w:p w14:paraId="7711455A" w14:textId="77777777" w:rsidR="008645C0" w:rsidRPr="00B272E1" w:rsidRDefault="008645C0" w:rsidP="00B272E1">
      <w:pPr>
        <w:tabs>
          <w:tab w:val="left" w:pos="885"/>
        </w:tabs>
        <w:ind w:left="360"/>
        <w:jc w:val="both"/>
        <w:rPr>
          <w:rFonts w:cs="Arial"/>
          <w:i/>
        </w:rPr>
      </w:pPr>
    </w:p>
    <w:p w14:paraId="778CF933" w14:textId="610B65B0" w:rsidR="00F178C8" w:rsidRPr="008247C2" w:rsidRDefault="00B272E1" w:rsidP="00652B37">
      <w:pPr>
        <w:pStyle w:val="Titre1"/>
        <w:numPr>
          <w:ilvl w:val="0"/>
          <w:numId w:val="7"/>
        </w:numPr>
      </w:pPr>
      <w:r>
        <w:t>PROFIL DE L’EXPERT</w:t>
      </w:r>
    </w:p>
    <w:p w14:paraId="63E22075" w14:textId="48CCF01F" w:rsidR="00A34FF8" w:rsidRPr="00E401E2" w:rsidRDefault="00CB1856" w:rsidP="00FA70FC">
      <w:pPr>
        <w:pStyle w:val="Titre3"/>
        <w:spacing w:after="240"/>
        <w:ind w:left="0" w:firstLine="0"/>
        <w:jc w:val="both"/>
      </w:pPr>
      <w:r>
        <w:t>Expert n°2</w:t>
      </w:r>
      <w:r w:rsidR="00322111" w:rsidRPr="008247C2">
        <w:rPr>
          <w:u w:val="none"/>
        </w:rPr>
        <w:t xml:space="preserve">: </w:t>
      </w:r>
      <w:r w:rsidR="00FA70FC" w:rsidRPr="00582511">
        <w:rPr>
          <w:b w:val="0"/>
          <w:sz w:val="24"/>
          <w:szCs w:val="24"/>
          <w:u w:val="none"/>
        </w:rPr>
        <w:t xml:space="preserve">Expert en </w:t>
      </w:r>
      <w:r w:rsidR="00582511" w:rsidRPr="00582511">
        <w:rPr>
          <w:b w:val="0"/>
          <w:sz w:val="24"/>
          <w:szCs w:val="24"/>
          <w:u w:val="none"/>
        </w:rPr>
        <w:t>conventions et achats des administrations publiques</w:t>
      </w:r>
    </w:p>
    <w:p w14:paraId="14F9289F" w14:textId="77777777" w:rsidR="00582511" w:rsidRPr="00582511" w:rsidRDefault="00582511" w:rsidP="00582511">
      <w:pPr>
        <w:rPr>
          <w:b/>
          <w:sz w:val="20"/>
          <w:u w:val="single"/>
        </w:rPr>
      </w:pPr>
      <w:bookmarkStart w:id="2" w:name="_Toc489263168"/>
      <w:r w:rsidRPr="00582511">
        <w:rPr>
          <w:b/>
          <w:sz w:val="20"/>
          <w:u w:val="single"/>
        </w:rPr>
        <w:t xml:space="preserve">Critères de sélection (essentiels) : </w:t>
      </w:r>
    </w:p>
    <w:p w14:paraId="359828CA" w14:textId="77777777" w:rsidR="00582511" w:rsidRPr="00582511" w:rsidRDefault="00582511" w:rsidP="00582511">
      <w:pPr>
        <w:jc w:val="both"/>
        <w:rPr>
          <w:szCs w:val="18"/>
        </w:rPr>
      </w:pPr>
      <w:r w:rsidRPr="00582511">
        <w:rPr>
          <w:szCs w:val="18"/>
        </w:rPr>
        <w:t>• Education universitaire en sciences politiques, santé publique, droit des administrations, ou thème similaire ; des qualifications postuniversitaires (masters, PhD) seront considérées comme un plus ;</w:t>
      </w:r>
    </w:p>
    <w:p w14:paraId="29619CBC" w14:textId="77777777" w:rsidR="00582511" w:rsidRPr="00582511" w:rsidRDefault="00582511" w:rsidP="00582511">
      <w:pPr>
        <w:jc w:val="both"/>
        <w:rPr>
          <w:szCs w:val="18"/>
        </w:rPr>
      </w:pPr>
      <w:r w:rsidRPr="00582511">
        <w:rPr>
          <w:szCs w:val="18"/>
        </w:rPr>
        <w:t>• 15 ans minimum d’expérience professionnelle dans une administration publique d’Etats membres de l’UE compétente en matière de protection sociale et/ou santé publique dont au moins cinq ans au sein d’une assurance maladie ;</w:t>
      </w:r>
    </w:p>
    <w:p w14:paraId="20C6997D" w14:textId="77777777" w:rsidR="00582511" w:rsidRPr="00582511" w:rsidRDefault="00582511" w:rsidP="00582511">
      <w:pPr>
        <w:jc w:val="both"/>
        <w:rPr>
          <w:szCs w:val="18"/>
        </w:rPr>
      </w:pPr>
      <w:bookmarkStart w:id="3" w:name="_Hlk506371858"/>
      <w:r w:rsidRPr="00582511">
        <w:rPr>
          <w:szCs w:val="18"/>
        </w:rPr>
        <w:t>• Expérience spécifique dans la définition, négociation et mise en œuvre de conventions d’achats et de services entre administrations publiques compétentes en matière de protection sociale et/ou santé publique, et prestataires de services publics et privés ;</w:t>
      </w:r>
      <w:bookmarkEnd w:id="3"/>
    </w:p>
    <w:p w14:paraId="7DFB04EE" w14:textId="77777777" w:rsidR="00582511" w:rsidRPr="00582511" w:rsidRDefault="00582511" w:rsidP="00582511">
      <w:pPr>
        <w:jc w:val="both"/>
        <w:rPr>
          <w:szCs w:val="18"/>
        </w:rPr>
      </w:pPr>
      <w:r w:rsidRPr="00582511">
        <w:rPr>
          <w:szCs w:val="18"/>
        </w:rPr>
        <w:t>• Connaissance approfondie des meilleures pratiques pertinentes dans la détermination des tarifs des médicaments et détermination des plafonds de remboursement ;</w:t>
      </w:r>
    </w:p>
    <w:p w14:paraId="21F92B54" w14:textId="77777777" w:rsidR="00582511" w:rsidRPr="00582511" w:rsidRDefault="00582511" w:rsidP="00582511">
      <w:pPr>
        <w:jc w:val="both"/>
        <w:rPr>
          <w:szCs w:val="18"/>
        </w:rPr>
      </w:pPr>
      <w:r w:rsidRPr="00582511">
        <w:rPr>
          <w:szCs w:val="18"/>
        </w:rPr>
        <w:t>• Parfaite connaissance de la langue française, à l’écrit et à l’oral ;</w:t>
      </w:r>
    </w:p>
    <w:p w14:paraId="6EFFFB92" w14:textId="77777777" w:rsidR="00582511" w:rsidRPr="00582511" w:rsidRDefault="00582511" w:rsidP="00582511">
      <w:pPr>
        <w:jc w:val="both"/>
        <w:rPr>
          <w:szCs w:val="18"/>
        </w:rPr>
      </w:pPr>
      <w:r w:rsidRPr="00582511">
        <w:rPr>
          <w:szCs w:val="18"/>
        </w:rPr>
        <w:t>• Une capacité avérée à transmettre de connaissances et renforcer les capacités d’agents publics ;</w:t>
      </w:r>
    </w:p>
    <w:p w14:paraId="6D6309DF" w14:textId="77777777" w:rsidR="00582511" w:rsidRPr="00582511" w:rsidRDefault="00582511" w:rsidP="00582511">
      <w:pPr>
        <w:jc w:val="both"/>
        <w:rPr>
          <w:szCs w:val="18"/>
        </w:rPr>
      </w:pPr>
      <w:r w:rsidRPr="00582511">
        <w:rPr>
          <w:szCs w:val="18"/>
        </w:rPr>
        <w:t>• Sensibilité dans la conduite de relations institutionnelles ; sens aigu de la diplomatie.</w:t>
      </w:r>
    </w:p>
    <w:p w14:paraId="0B7E9757" w14:textId="77777777" w:rsidR="00582511" w:rsidRPr="00582511" w:rsidRDefault="00582511" w:rsidP="00582511">
      <w:pPr>
        <w:rPr>
          <w:b/>
          <w:sz w:val="20"/>
          <w:u w:val="single"/>
        </w:rPr>
      </w:pPr>
      <w:r w:rsidRPr="00582511">
        <w:rPr>
          <w:b/>
          <w:sz w:val="20"/>
          <w:u w:val="single"/>
        </w:rPr>
        <w:t>Critères accessoires :</w:t>
      </w:r>
    </w:p>
    <w:p w14:paraId="1280AAAB" w14:textId="77777777" w:rsidR="00582511" w:rsidRPr="00582511" w:rsidRDefault="00582511" w:rsidP="00582511">
      <w:pPr>
        <w:jc w:val="both"/>
        <w:rPr>
          <w:szCs w:val="18"/>
        </w:rPr>
      </w:pPr>
      <w:r w:rsidRPr="00582511">
        <w:rPr>
          <w:szCs w:val="18"/>
        </w:rPr>
        <w:t>• Une expérience préalable dans la conduite de missions d’assistance technique dans un cadre de coopération internationale ;</w:t>
      </w:r>
    </w:p>
    <w:p w14:paraId="6D200F3A" w14:textId="77777777" w:rsidR="00582511" w:rsidRPr="00582511" w:rsidRDefault="00582511" w:rsidP="00582511">
      <w:pPr>
        <w:jc w:val="both"/>
        <w:rPr>
          <w:szCs w:val="18"/>
        </w:rPr>
      </w:pPr>
      <w:r w:rsidRPr="00582511">
        <w:rPr>
          <w:szCs w:val="18"/>
        </w:rPr>
        <w:t>• Connaissance du pays et de son contexte ; une expérience professionnelle préalable au Togo ou dans la sous-région (Afrique de l’Ouest).</w:t>
      </w:r>
    </w:p>
    <w:p w14:paraId="40C9B387" w14:textId="77777777" w:rsidR="00582511" w:rsidRPr="00FA70FC" w:rsidRDefault="00582511" w:rsidP="00FA70FC">
      <w:pPr>
        <w:jc w:val="both"/>
        <w:rPr>
          <w:sz w:val="19"/>
          <w:szCs w:val="19"/>
        </w:rPr>
      </w:pPr>
      <w:bookmarkStart w:id="4" w:name="_GoBack"/>
      <w:bookmarkEnd w:id="4"/>
    </w:p>
    <w:bookmarkEnd w:id="2"/>
    <w:p w14:paraId="52C4AAA0" w14:textId="6F566C1F" w:rsidR="003A55B0" w:rsidRPr="008247C2" w:rsidRDefault="00314CEE" w:rsidP="00652B37">
      <w:pPr>
        <w:pStyle w:val="Titre1"/>
        <w:numPr>
          <w:ilvl w:val="0"/>
          <w:numId w:val="6"/>
        </w:numPr>
        <w:spacing w:after="240"/>
      </w:pPr>
      <w:r>
        <w:t>CANDIDATURE</w:t>
      </w:r>
    </w:p>
    <w:p w14:paraId="5DD29D61" w14:textId="59747CCE" w:rsidR="003A55B0" w:rsidRPr="008247C2" w:rsidRDefault="004F5F12" w:rsidP="00652B37">
      <w:pPr>
        <w:pStyle w:val="Titre2"/>
        <w:numPr>
          <w:ilvl w:val="1"/>
          <w:numId w:val="6"/>
        </w:numPr>
      </w:pPr>
      <w:r w:rsidRPr="008247C2">
        <w:t xml:space="preserve">Document </w:t>
      </w:r>
      <w:r w:rsidR="00314CEE">
        <w:t>à soumettre</w:t>
      </w:r>
    </w:p>
    <w:p w14:paraId="7171D0D2" w14:textId="7D36BD80" w:rsidR="00D611CD" w:rsidRPr="005E59C4" w:rsidRDefault="00D611CD" w:rsidP="00944D46">
      <w:pPr>
        <w:pStyle w:val="NormalWeb"/>
        <w:spacing w:after="360" w:afterAutospacing="0"/>
        <w:jc w:val="both"/>
        <w:rPr>
          <w:rFonts w:ascii="Verdana" w:hAnsi="Verdana"/>
          <w:sz w:val="18"/>
          <w:szCs w:val="18"/>
        </w:rPr>
      </w:pPr>
      <w:r w:rsidRPr="005E59C4">
        <w:rPr>
          <w:rFonts w:ascii="Verdana" w:hAnsi="Verdana"/>
          <w:b/>
          <w:sz w:val="18"/>
          <w:szCs w:val="18"/>
        </w:rPr>
        <w:t>Curriculum Vitae</w:t>
      </w:r>
      <w:r w:rsidRPr="005E59C4">
        <w:rPr>
          <w:rFonts w:ascii="Verdana" w:hAnsi="Verdana"/>
          <w:sz w:val="18"/>
          <w:szCs w:val="18"/>
        </w:rPr>
        <w:t xml:space="preserve"> </w:t>
      </w:r>
      <w:r w:rsidR="00314CEE" w:rsidRPr="005E59C4">
        <w:rPr>
          <w:rFonts w:ascii="Verdana" w:hAnsi="Verdana"/>
          <w:sz w:val="18"/>
          <w:szCs w:val="18"/>
        </w:rPr>
        <w:t>au format Europass – téléchargeable en suivant le lien</w:t>
      </w:r>
      <w:r w:rsidRPr="005E59C4">
        <w:rPr>
          <w:rFonts w:ascii="Verdana" w:hAnsi="Verdana"/>
          <w:sz w:val="18"/>
          <w:szCs w:val="18"/>
        </w:rPr>
        <w:t xml:space="preserve">: </w:t>
      </w:r>
      <w:hyperlink r:id="rId10" w:history="1">
        <w:r w:rsidRPr="005E59C4">
          <w:rPr>
            <w:rStyle w:val="Lienhypertexte"/>
            <w:rFonts w:ascii="Verdana" w:hAnsi="Verdana"/>
            <w:sz w:val="18"/>
            <w:szCs w:val="18"/>
          </w:rPr>
          <w:t>http://europass.cedefop.europa.eu/en/documents/curriculum-vitae/templates-instructions</w:t>
        </w:r>
      </w:hyperlink>
    </w:p>
    <w:p w14:paraId="258B2580" w14:textId="1F80703F" w:rsidR="003A55B0" w:rsidRPr="008247C2" w:rsidRDefault="004F331B" w:rsidP="00652B37">
      <w:pPr>
        <w:pStyle w:val="Titre2"/>
        <w:numPr>
          <w:ilvl w:val="1"/>
          <w:numId w:val="6"/>
        </w:numPr>
      </w:pPr>
      <w:r>
        <w:t>Soumission des candidatures</w:t>
      </w:r>
    </w:p>
    <w:p w14:paraId="16750868" w14:textId="65CBF38E" w:rsidR="00CD694B" w:rsidRPr="004F331B" w:rsidRDefault="004F331B" w:rsidP="00BE7CB5">
      <w:pPr>
        <w:jc w:val="both"/>
        <w:rPr>
          <w:sz w:val="22"/>
          <w:szCs w:val="22"/>
        </w:rPr>
      </w:pPr>
      <w:r w:rsidRPr="005E59C4">
        <w:rPr>
          <w:szCs w:val="18"/>
        </w:rPr>
        <w:t xml:space="preserve">Les experts intéressés doivent soumettre leur candidature par e-mail à l’adresse </w:t>
      </w:r>
      <w:hyperlink r:id="rId11" w:history="1">
        <w:r w:rsidRPr="005E59C4">
          <w:rPr>
            <w:rStyle w:val="Lienhypertexte"/>
            <w:szCs w:val="18"/>
          </w:rPr>
          <w:t>experts@socieux.eu</w:t>
        </w:r>
      </w:hyperlink>
      <w:r w:rsidRPr="005E59C4">
        <w:rPr>
          <w:szCs w:val="18"/>
        </w:rPr>
        <w:t xml:space="preserve"> en précisant dans l’objet de l’e-mail la référence ci-dessous :</w:t>
      </w:r>
      <w:r>
        <w:rPr>
          <w:sz w:val="22"/>
          <w:szCs w:val="22"/>
        </w:rPr>
        <w:t xml:space="preserve"> </w:t>
      </w:r>
      <w:r w:rsidR="00C22697" w:rsidRPr="00C22697">
        <w:rPr>
          <w:b/>
          <w:i/>
          <w:color w:val="0070C0"/>
          <w:sz w:val="24"/>
          <w:szCs w:val="24"/>
          <w:highlight w:val="yellow"/>
        </w:rPr>
        <w:t>17-39/TOG/01.04/</w:t>
      </w:r>
      <w:r w:rsidR="00CB1856">
        <w:rPr>
          <w:b/>
          <w:i/>
          <w:color w:val="FF0000"/>
          <w:sz w:val="24"/>
          <w:szCs w:val="24"/>
          <w:highlight w:val="yellow"/>
        </w:rPr>
        <w:t>2</w:t>
      </w:r>
    </w:p>
    <w:p w14:paraId="0CCD04D5" w14:textId="77777777" w:rsidR="004F331B" w:rsidRPr="005E59C4" w:rsidRDefault="004F331B" w:rsidP="00BE7CB5">
      <w:pPr>
        <w:shd w:val="clear" w:color="auto" w:fill="FFFFFF" w:themeFill="background1"/>
        <w:jc w:val="both"/>
        <w:rPr>
          <w:rStyle w:val="Lienhypertexte"/>
          <w:color w:val="000000" w:themeColor="text1"/>
          <w:szCs w:val="18"/>
        </w:rPr>
      </w:pPr>
      <w:r w:rsidRPr="005E59C4">
        <w:rPr>
          <w:color w:val="000000" w:themeColor="text1"/>
          <w:szCs w:val="18"/>
        </w:rPr>
        <w:t xml:space="preserve">En outre, SOCIEUX+ encourage les experts publics à créer leur compte SOCIEUX+ et à s’enregistrer dans la base de données du programme en suivant le lien </w:t>
      </w:r>
      <w:hyperlink r:id="rId12" w:history="1">
        <w:r w:rsidRPr="005E59C4">
          <w:rPr>
            <w:rStyle w:val="Lienhypertexte"/>
            <w:color w:val="000000" w:themeColor="text1"/>
            <w:szCs w:val="18"/>
          </w:rPr>
          <w:t>https://pmt.socieux.eu</w:t>
        </w:r>
      </w:hyperlink>
      <w:r w:rsidRPr="005E59C4">
        <w:rPr>
          <w:rStyle w:val="Lienhypertexte"/>
          <w:color w:val="000000" w:themeColor="text1"/>
          <w:szCs w:val="18"/>
        </w:rPr>
        <w:t xml:space="preserve"> </w:t>
      </w:r>
    </w:p>
    <w:p w14:paraId="23082BC8" w14:textId="46C13667" w:rsidR="00D2222D" w:rsidRDefault="004F331B" w:rsidP="00BE7CB5">
      <w:pPr>
        <w:shd w:val="clear" w:color="auto" w:fill="FFFFFF" w:themeFill="background1"/>
        <w:jc w:val="both"/>
        <w:rPr>
          <w:color w:val="000000" w:themeColor="text1"/>
          <w:szCs w:val="18"/>
        </w:rPr>
      </w:pPr>
      <w:r w:rsidRPr="005E59C4">
        <w:rPr>
          <w:rStyle w:val="Lienhypertexte"/>
          <w:color w:val="000000" w:themeColor="text1"/>
          <w:szCs w:val="18"/>
          <w:u w:val="none"/>
        </w:rPr>
        <w:t>Les experts ainsi enregistrés souhaitant collaborer avec SOCIEUX+ ne sont tenus que de remplir une simple « </w:t>
      </w:r>
      <w:r w:rsidRPr="005E59C4">
        <w:rPr>
          <w:i/>
          <w:color w:val="000000" w:themeColor="text1"/>
          <w:szCs w:val="18"/>
        </w:rPr>
        <w:t xml:space="preserve">Expert </w:t>
      </w:r>
      <w:proofErr w:type="spellStart"/>
      <w:r w:rsidRPr="005E59C4">
        <w:rPr>
          <w:i/>
          <w:color w:val="000000" w:themeColor="text1"/>
          <w:szCs w:val="18"/>
        </w:rPr>
        <w:t>Availability</w:t>
      </w:r>
      <w:proofErr w:type="spellEnd"/>
      <w:r w:rsidRPr="005E59C4">
        <w:rPr>
          <w:i/>
          <w:color w:val="000000" w:themeColor="text1"/>
          <w:szCs w:val="18"/>
        </w:rPr>
        <w:t xml:space="preserve"> </w:t>
      </w:r>
      <w:proofErr w:type="spellStart"/>
      <w:r w:rsidRPr="005E59C4">
        <w:rPr>
          <w:i/>
          <w:color w:val="000000" w:themeColor="text1"/>
          <w:szCs w:val="18"/>
        </w:rPr>
        <w:t>Declaration</w:t>
      </w:r>
      <w:proofErr w:type="spellEnd"/>
      <w:r w:rsidRPr="005E59C4">
        <w:rPr>
          <w:i/>
          <w:color w:val="000000" w:themeColor="text1"/>
          <w:szCs w:val="18"/>
        </w:rPr>
        <w:t xml:space="preserve"> </w:t>
      </w:r>
      <w:proofErr w:type="spellStart"/>
      <w:r w:rsidRPr="005E59C4">
        <w:rPr>
          <w:i/>
          <w:color w:val="000000" w:themeColor="text1"/>
          <w:szCs w:val="18"/>
        </w:rPr>
        <w:t>Form</w:t>
      </w:r>
      <w:proofErr w:type="spellEnd"/>
      <w:r w:rsidRPr="005E59C4">
        <w:rPr>
          <w:color w:val="000000" w:themeColor="text1"/>
          <w:szCs w:val="18"/>
        </w:rPr>
        <w:t> » disponible sur demande.</w:t>
      </w:r>
      <w:r w:rsidRPr="005E59C4">
        <w:rPr>
          <w:rStyle w:val="Appelnotedebasdep"/>
          <w:color w:val="000000" w:themeColor="text1"/>
          <w:szCs w:val="18"/>
        </w:rPr>
        <w:footnoteReference w:id="1"/>
      </w:r>
      <w:r w:rsidRPr="005E59C4">
        <w:rPr>
          <w:color w:val="000000" w:themeColor="text1"/>
          <w:szCs w:val="18"/>
        </w:rPr>
        <w:t xml:space="preserve"> Ces experts pourront également être directement contactés pour participer à de futures actions qui correspondraient à leur profil.</w:t>
      </w:r>
    </w:p>
    <w:p w14:paraId="504FCA23" w14:textId="77777777" w:rsidR="00B0477D" w:rsidRPr="00DD7A2A" w:rsidRDefault="00B0477D" w:rsidP="00BE7CB5">
      <w:pPr>
        <w:shd w:val="clear" w:color="auto" w:fill="FFFFFF" w:themeFill="background1"/>
        <w:jc w:val="both"/>
        <w:rPr>
          <w:color w:val="000000" w:themeColor="text1"/>
          <w:szCs w:val="18"/>
        </w:rPr>
      </w:pPr>
    </w:p>
    <w:p w14:paraId="4ED94959" w14:textId="54EA9A87" w:rsidR="003A55B0" w:rsidRPr="008247C2" w:rsidRDefault="00944D46" w:rsidP="00652B37">
      <w:pPr>
        <w:pStyle w:val="Titre1"/>
        <w:numPr>
          <w:ilvl w:val="0"/>
          <w:numId w:val="5"/>
        </w:numPr>
      </w:pPr>
      <w:bookmarkStart w:id="5" w:name="_Toc474397588"/>
      <w:bookmarkStart w:id="6" w:name="_Toc474742448"/>
      <w:r>
        <w:t>PROCESSUS DE SELECTION</w:t>
      </w:r>
    </w:p>
    <w:bookmarkEnd w:id="5"/>
    <w:bookmarkEnd w:id="6"/>
    <w:p w14:paraId="01EEF971" w14:textId="77777777" w:rsidR="004F331B" w:rsidRPr="005E59C4" w:rsidRDefault="004F331B" w:rsidP="004F331B">
      <w:pPr>
        <w:jc w:val="both"/>
        <w:rPr>
          <w:szCs w:val="18"/>
        </w:rPr>
      </w:pPr>
      <w:r w:rsidRPr="005E59C4">
        <w:rPr>
          <w:szCs w:val="18"/>
        </w:rPr>
        <w:t>Les experts fonctionnaires et employés du secteur public sont privilégiés pour les missions organisées par SOCIEUX+. Les consultants privés sont toutefois fortement encouragés à postuler.</w:t>
      </w:r>
    </w:p>
    <w:p w14:paraId="47E4137B" w14:textId="77777777" w:rsidR="004F331B" w:rsidRPr="005E59C4" w:rsidRDefault="004F331B" w:rsidP="004F331B">
      <w:pPr>
        <w:jc w:val="both"/>
        <w:rPr>
          <w:szCs w:val="18"/>
        </w:rPr>
      </w:pPr>
      <w:r w:rsidRPr="005E59C4">
        <w:rPr>
          <w:szCs w:val="18"/>
        </w:rPr>
        <w:t>Les candidatures incomplètes ne seront pas prises en compte. Seuls les candidats short-listés seront contactés. La procédure de sélection peut inclure un entretien téléphonique ou physique. Il pourra être demandé aux candidats sélectionnés d’indiquer le nom de personnes pouvant être contactées dans leur institution d’origine.</w:t>
      </w:r>
    </w:p>
    <w:p w14:paraId="2601714B" w14:textId="7D50E8FA" w:rsidR="009060A9" w:rsidRPr="00FA70FC" w:rsidRDefault="004F331B" w:rsidP="00FA70FC">
      <w:pPr>
        <w:jc w:val="both"/>
        <w:rPr>
          <w:szCs w:val="18"/>
        </w:rPr>
      </w:pPr>
      <w:r w:rsidRPr="005E59C4">
        <w:rPr>
          <w:szCs w:val="18"/>
        </w:rPr>
        <w:t>Les experts fonctionnaires et employés du secteur public (actifs ou retraités) sont rétribués à hauteur de 250 euros par jour travaillé. Les honoraires des consultants privés sont calculés en fonction de leur expérience.</w:t>
      </w:r>
    </w:p>
    <w:p w14:paraId="65179D2E" w14:textId="4B94885A" w:rsidR="003A55B0" w:rsidRPr="008247C2" w:rsidRDefault="00944D46" w:rsidP="00652B37">
      <w:pPr>
        <w:pStyle w:val="Titre1"/>
        <w:numPr>
          <w:ilvl w:val="0"/>
          <w:numId w:val="4"/>
        </w:numPr>
        <w:spacing w:before="240"/>
        <w:rPr>
          <w:rFonts w:cs="Times New Roman"/>
          <w:iCs/>
        </w:rPr>
      </w:pPr>
      <w:r>
        <w:t>CLAUSE DE NON-RESPONSABILITE</w:t>
      </w:r>
    </w:p>
    <w:p w14:paraId="06B456D6" w14:textId="585C60F7" w:rsidR="00944D46" w:rsidRPr="005E59C4" w:rsidRDefault="00EF5656" w:rsidP="00944D46">
      <w:pPr>
        <w:jc w:val="both"/>
        <w:rPr>
          <w:szCs w:val="18"/>
        </w:rPr>
      </w:pPr>
      <w:r>
        <w:rPr>
          <w:szCs w:val="18"/>
        </w:rPr>
        <w:t xml:space="preserve">L’activité objet </w:t>
      </w:r>
      <w:r w:rsidR="00944D46" w:rsidRPr="005E59C4">
        <w:rPr>
          <w:szCs w:val="18"/>
        </w:rPr>
        <w:t xml:space="preserve">de cet appel à candidatures </w:t>
      </w:r>
      <w:r>
        <w:rPr>
          <w:szCs w:val="18"/>
        </w:rPr>
        <w:t>est soumise</w:t>
      </w:r>
      <w:r w:rsidR="00944D46" w:rsidRPr="005E59C4">
        <w:rPr>
          <w:szCs w:val="18"/>
        </w:rPr>
        <w:t xml:space="preserve"> à l’évaluation et à l’approbation par le Comité </w:t>
      </w:r>
      <w:proofErr w:type="spellStart"/>
      <w:r w:rsidR="00944D46" w:rsidRPr="005E59C4">
        <w:rPr>
          <w:szCs w:val="18"/>
        </w:rPr>
        <w:t>Quality</w:t>
      </w:r>
      <w:proofErr w:type="spellEnd"/>
      <w:r w:rsidR="00944D46" w:rsidRPr="005E59C4">
        <w:rPr>
          <w:szCs w:val="18"/>
        </w:rPr>
        <w:t xml:space="preserve"> Assurance de SOCIEUX+. La confirmation des dates des missions et la contractualisation des experts ne sont possibles qu’une fois la décision formelle de ce comité prise.</w:t>
      </w:r>
    </w:p>
    <w:p w14:paraId="5270ACD3" w14:textId="77777777" w:rsidR="008841F6" w:rsidRPr="008247C2" w:rsidRDefault="008841F6" w:rsidP="00C5469B"/>
    <w:sectPr w:rsidR="008841F6" w:rsidRPr="008247C2" w:rsidSect="0079492F">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5EDCE904" w14:textId="3E9A52E1" w:rsidR="00655D8F" w:rsidRPr="007B03EA" w:rsidRDefault="00655D8F" w:rsidP="00655D8F">
        <w:pPr>
          <w:pStyle w:val="En-tte"/>
        </w:pPr>
      </w:p>
      <w:p w14:paraId="5BE41C43" w14:textId="77777777" w:rsidR="00655D8F" w:rsidRDefault="00655D8F" w:rsidP="00655D8F"/>
      <w:p w14:paraId="3364251E" w14:textId="25F353C6" w:rsidR="0079492F" w:rsidRDefault="00C22697" w:rsidP="00655D8F">
        <w:pPr>
          <w:pBdr>
            <w:top w:val="single" w:sz="4" w:space="1" w:color="auto"/>
          </w:pBdr>
        </w:pPr>
        <w:r>
          <w:rPr>
            <w:i/>
            <w:color w:val="0070C0"/>
          </w:rPr>
          <w:t>17-39</w:t>
        </w:r>
        <w:r w:rsidRPr="008247C2">
          <w:rPr>
            <w:i/>
            <w:color w:val="0070C0"/>
          </w:rPr>
          <w:t>/</w:t>
        </w:r>
        <w:r>
          <w:rPr>
            <w:i/>
            <w:color w:val="0070C0"/>
          </w:rPr>
          <w:t>TOG</w:t>
        </w:r>
        <w:r>
          <w:rPr>
            <w:i/>
            <w:color w:val="0070C0"/>
            <w:szCs w:val="18"/>
          </w:rPr>
          <w:t>/01.04</w:t>
        </w:r>
        <w:r w:rsidRPr="008247C2">
          <w:rPr>
            <w:i/>
            <w:color w:val="0070C0"/>
            <w:szCs w:val="18"/>
          </w:rPr>
          <w:t>/</w:t>
        </w:r>
        <w:r w:rsidR="00CB1856">
          <w:rPr>
            <w:i/>
            <w:color w:val="0070C0"/>
          </w:rPr>
          <w:t>2</w:t>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 w:id="1">
    <w:p w14:paraId="7E39336F" w14:textId="117F61B1" w:rsidR="004F331B" w:rsidRPr="00C13B9B" w:rsidRDefault="004F331B" w:rsidP="004F331B">
      <w:pPr>
        <w:pStyle w:val="Notedebasdepage"/>
        <w:jc w:val="both"/>
        <w:rPr>
          <w:szCs w:val="18"/>
        </w:rPr>
      </w:pPr>
      <w:r w:rsidRPr="00C13B9B">
        <w:rPr>
          <w:rStyle w:val="Appelnotedebasdep"/>
          <w:szCs w:val="18"/>
        </w:rPr>
        <w:footnoteRef/>
      </w:r>
      <w:r>
        <w:rPr>
          <w:szCs w:val="18"/>
        </w:rPr>
        <w:t xml:space="preserve"> </w:t>
      </w:r>
      <w:r w:rsidRPr="00C13B9B">
        <w:rPr>
          <w:szCs w:val="18"/>
        </w:rPr>
        <w:t>En co</w:t>
      </w:r>
      <w:r>
        <w:rPr>
          <w:szCs w:val="18"/>
        </w:rPr>
        <w:t xml:space="preserve">ntactant Monsieur Raphaël DONY </w:t>
      </w:r>
      <w:r w:rsidR="006D76FB">
        <w:rPr>
          <w:szCs w:val="18"/>
        </w:rPr>
        <w:t xml:space="preserve">à l’adresse </w:t>
      </w:r>
      <w:hyperlink r:id="rId1" w:history="1">
        <w:r w:rsidRPr="00C13B9B">
          <w:rPr>
            <w:rStyle w:val="Lienhypertexte"/>
            <w:szCs w:val="18"/>
          </w:rPr>
          <w:t>raphael.dony@expertisefrance.fr</w:t>
        </w:r>
      </w:hyperlink>
    </w:p>
    <w:p w14:paraId="73772F12" w14:textId="77777777" w:rsidR="004F331B" w:rsidRPr="00373F02" w:rsidRDefault="004F331B" w:rsidP="004F33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DE"/>
    <w:multiLevelType w:val="hybridMultilevel"/>
    <w:tmpl w:val="53A68E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6F2129"/>
    <w:multiLevelType w:val="hybridMultilevel"/>
    <w:tmpl w:val="AE1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A4A84"/>
    <w:multiLevelType w:val="hybridMultilevel"/>
    <w:tmpl w:val="CF047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35236A"/>
    <w:multiLevelType w:val="hybridMultilevel"/>
    <w:tmpl w:val="CC8A75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311902"/>
    <w:multiLevelType w:val="hybridMultilevel"/>
    <w:tmpl w:val="3044F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F51A7"/>
    <w:multiLevelType w:val="hybridMultilevel"/>
    <w:tmpl w:val="4A9A5A6C"/>
    <w:lvl w:ilvl="0" w:tplc="A5DA1EF0">
      <w:numFmt w:val="bullet"/>
      <w:lvlText w:val="•"/>
      <w:lvlJc w:val="left"/>
      <w:pPr>
        <w:ind w:left="720" w:hanging="360"/>
      </w:pPr>
      <w:rPr>
        <w:rFonts w:ascii="Verdana" w:eastAsiaTheme="minorHAnsi" w:hAnsi="Verdana" w:cs="Verdan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5386C"/>
    <w:multiLevelType w:val="hybridMultilevel"/>
    <w:tmpl w:val="7BF4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725B3E"/>
    <w:multiLevelType w:val="hybridMultilevel"/>
    <w:tmpl w:val="679E7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CBF60AB"/>
    <w:multiLevelType w:val="hybridMultilevel"/>
    <w:tmpl w:val="704EE840"/>
    <w:lvl w:ilvl="0" w:tplc="5E962D4E">
      <w:numFmt w:val="bullet"/>
      <w:lvlText w:val="•"/>
      <w:lvlJc w:val="left"/>
      <w:pPr>
        <w:ind w:left="1080" w:hanging="360"/>
      </w:pPr>
      <w:rPr>
        <w:rFonts w:ascii="Verdana" w:eastAsia="Times New Roman" w:hAnsi="Verdan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D9D2957"/>
    <w:multiLevelType w:val="hybridMultilevel"/>
    <w:tmpl w:val="56C88CDA"/>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1"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914C3"/>
    <w:multiLevelType w:val="hybridMultilevel"/>
    <w:tmpl w:val="75D6F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2F72EC4"/>
    <w:multiLevelType w:val="multilevel"/>
    <w:tmpl w:val="867474DA"/>
    <w:lvl w:ilvl="0">
      <w:numFmt w:val="bullet"/>
      <w:lvlText w:val=""/>
      <w:lvlJc w:val="left"/>
      <w:pPr>
        <w:ind w:left="1428" w:hanging="360"/>
      </w:pPr>
      <w:rPr>
        <w:rFonts w:ascii="Symbol" w:eastAsia="Calibri" w:hAnsi="Symbol"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4330500E"/>
    <w:multiLevelType w:val="hybridMultilevel"/>
    <w:tmpl w:val="BE94DF6E"/>
    <w:lvl w:ilvl="0" w:tplc="19649658">
      <w:start w:val="1"/>
      <w:numFmt w:val="bullet"/>
      <w:lvlText w:val=""/>
      <w:lvlJc w:val="left"/>
      <w:pPr>
        <w:ind w:left="390" w:hanging="720"/>
      </w:pPr>
      <w:rPr>
        <w:rFonts w:ascii="Symbol" w:hAnsi="Symbol" w:hint="default"/>
        <w:i w:val="0"/>
      </w:rPr>
    </w:lvl>
    <w:lvl w:ilvl="1" w:tplc="08090001">
      <w:start w:val="1"/>
      <w:numFmt w:val="bullet"/>
      <w:lvlText w:val=""/>
      <w:lvlJc w:val="left"/>
      <w:pPr>
        <w:ind w:left="1906" w:hanging="720"/>
      </w:pPr>
      <w:rPr>
        <w:rFonts w:ascii="Symbol" w:hAnsi="Symbol" w:hint="default"/>
      </w:r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5"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AC7003F"/>
    <w:multiLevelType w:val="hybridMultilevel"/>
    <w:tmpl w:val="C5BC3E2C"/>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8" w15:restartNumberingAfterBreak="0">
    <w:nsid w:val="4C703C03"/>
    <w:multiLevelType w:val="hybridMultilevel"/>
    <w:tmpl w:val="191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4F926C39"/>
    <w:multiLevelType w:val="hybridMultilevel"/>
    <w:tmpl w:val="3F808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874686"/>
    <w:multiLevelType w:val="hybridMultilevel"/>
    <w:tmpl w:val="8594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46240B9"/>
    <w:multiLevelType w:val="hybridMultilevel"/>
    <w:tmpl w:val="91DC4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117ADA"/>
    <w:multiLevelType w:val="hybridMultilevel"/>
    <w:tmpl w:val="A852C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FA56378"/>
    <w:multiLevelType w:val="hybridMultilevel"/>
    <w:tmpl w:val="9F1EE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7AE2211"/>
    <w:multiLevelType w:val="hybridMultilevel"/>
    <w:tmpl w:val="2F1A6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A21E47"/>
    <w:multiLevelType w:val="hybridMultilevel"/>
    <w:tmpl w:val="839A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EC38FA"/>
    <w:multiLevelType w:val="hybridMultilevel"/>
    <w:tmpl w:val="39E8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1"/>
  </w:num>
  <w:num w:numId="2">
    <w:abstractNumId w:val="32"/>
  </w:num>
  <w:num w:numId="3">
    <w:abstractNumId w:val="22"/>
  </w:num>
  <w:num w:numId="4">
    <w:abstractNumId w:val="16"/>
  </w:num>
  <w:num w:numId="5">
    <w:abstractNumId w:val="1"/>
  </w:num>
  <w:num w:numId="6">
    <w:abstractNumId w:val="19"/>
  </w:num>
  <w:num w:numId="7">
    <w:abstractNumId w:val="28"/>
  </w:num>
  <w:num w:numId="8">
    <w:abstractNumId w:val="15"/>
  </w:num>
  <w:num w:numId="9">
    <w:abstractNumId w:val="24"/>
  </w:num>
  <w:num w:numId="10">
    <w:abstractNumId w:val="7"/>
  </w:num>
  <w:num w:numId="11">
    <w:abstractNumId w:val="13"/>
  </w:num>
  <w:num w:numId="12">
    <w:abstractNumId w:val="9"/>
  </w:num>
  <w:num w:numId="13">
    <w:abstractNumId w:val="18"/>
  </w:num>
  <w:num w:numId="14">
    <w:abstractNumId w:val="25"/>
  </w:num>
  <w:num w:numId="15">
    <w:abstractNumId w:val="14"/>
  </w:num>
  <w:num w:numId="16">
    <w:abstractNumId w:val="2"/>
  </w:num>
  <w:num w:numId="17">
    <w:abstractNumId w:val="23"/>
  </w:num>
  <w:num w:numId="18">
    <w:abstractNumId w:val="21"/>
  </w:num>
  <w:num w:numId="19">
    <w:abstractNumId w:val="10"/>
  </w:num>
  <w:num w:numId="20">
    <w:abstractNumId w:val="17"/>
  </w:num>
  <w:num w:numId="21">
    <w:abstractNumId w:val="26"/>
  </w:num>
  <w:num w:numId="22">
    <w:abstractNumId w:val="6"/>
  </w:num>
  <w:num w:numId="23">
    <w:abstractNumId w:val="4"/>
  </w:num>
  <w:num w:numId="24">
    <w:abstractNumId w:val="30"/>
  </w:num>
  <w:num w:numId="25">
    <w:abstractNumId w:val="0"/>
  </w:num>
  <w:num w:numId="26">
    <w:abstractNumId w:val="8"/>
  </w:num>
  <w:num w:numId="27">
    <w:abstractNumId w:val="29"/>
  </w:num>
  <w:num w:numId="28">
    <w:abstractNumId w:val="31"/>
  </w:num>
  <w:num w:numId="29">
    <w:abstractNumId w:val="12"/>
  </w:num>
  <w:num w:numId="30">
    <w:abstractNumId w:val="27"/>
  </w:num>
  <w:num w:numId="31">
    <w:abstractNumId w:val="3"/>
  </w:num>
  <w:num w:numId="32">
    <w:abstractNumId w:val="20"/>
  </w:num>
  <w:num w:numId="3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4CA0"/>
    <w:rsid w:val="00022B6D"/>
    <w:rsid w:val="00047DEE"/>
    <w:rsid w:val="0005116A"/>
    <w:rsid w:val="0005433A"/>
    <w:rsid w:val="000548FE"/>
    <w:rsid w:val="0005543E"/>
    <w:rsid w:val="00070375"/>
    <w:rsid w:val="00077D75"/>
    <w:rsid w:val="00093458"/>
    <w:rsid w:val="000B4A74"/>
    <w:rsid w:val="000C1E5F"/>
    <w:rsid w:val="000C5546"/>
    <w:rsid w:val="000C7985"/>
    <w:rsid w:val="000D4AE9"/>
    <w:rsid w:val="000E19F7"/>
    <w:rsid w:val="000F448C"/>
    <w:rsid w:val="00106C3B"/>
    <w:rsid w:val="00106D11"/>
    <w:rsid w:val="00114C98"/>
    <w:rsid w:val="00125FB7"/>
    <w:rsid w:val="0016060B"/>
    <w:rsid w:val="001614E1"/>
    <w:rsid w:val="0018469C"/>
    <w:rsid w:val="00186175"/>
    <w:rsid w:val="001A4D16"/>
    <w:rsid w:val="001C3585"/>
    <w:rsid w:val="001D29A4"/>
    <w:rsid w:val="0020167B"/>
    <w:rsid w:val="002244FA"/>
    <w:rsid w:val="00257C8D"/>
    <w:rsid w:val="002754ED"/>
    <w:rsid w:val="00290E46"/>
    <w:rsid w:val="00292A83"/>
    <w:rsid w:val="002B7ED3"/>
    <w:rsid w:val="002C0CA7"/>
    <w:rsid w:val="002E1A9B"/>
    <w:rsid w:val="002E4C9F"/>
    <w:rsid w:val="002F29C3"/>
    <w:rsid w:val="002F4557"/>
    <w:rsid w:val="00313D02"/>
    <w:rsid w:val="00314CEE"/>
    <w:rsid w:val="003216F5"/>
    <w:rsid w:val="00322111"/>
    <w:rsid w:val="00335E0C"/>
    <w:rsid w:val="003407B5"/>
    <w:rsid w:val="0034793F"/>
    <w:rsid w:val="00347F36"/>
    <w:rsid w:val="00355B2F"/>
    <w:rsid w:val="003615D3"/>
    <w:rsid w:val="0036723F"/>
    <w:rsid w:val="0038538E"/>
    <w:rsid w:val="003A5564"/>
    <w:rsid w:val="003A55B0"/>
    <w:rsid w:val="003B6E76"/>
    <w:rsid w:val="003C0EE5"/>
    <w:rsid w:val="003D224C"/>
    <w:rsid w:val="003F35B8"/>
    <w:rsid w:val="004148EE"/>
    <w:rsid w:val="00415870"/>
    <w:rsid w:val="00444220"/>
    <w:rsid w:val="00484BF5"/>
    <w:rsid w:val="00487FA0"/>
    <w:rsid w:val="004C20CE"/>
    <w:rsid w:val="004C550F"/>
    <w:rsid w:val="004D32A6"/>
    <w:rsid w:val="004F060B"/>
    <w:rsid w:val="004F331B"/>
    <w:rsid w:val="004F560F"/>
    <w:rsid w:val="004F5F12"/>
    <w:rsid w:val="004F773C"/>
    <w:rsid w:val="005072FB"/>
    <w:rsid w:val="00510DF7"/>
    <w:rsid w:val="0052702A"/>
    <w:rsid w:val="00534082"/>
    <w:rsid w:val="00565181"/>
    <w:rsid w:val="00571707"/>
    <w:rsid w:val="00582511"/>
    <w:rsid w:val="005A0E8A"/>
    <w:rsid w:val="005A39E8"/>
    <w:rsid w:val="005B5FEC"/>
    <w:rsid w:val="005D0B8F"/>
    <w:rsid w:val="005E59C4"/>
    <w:rsid w:val="005E644E"/>
    <w:rsid w:val="005F2805"/>
    <w:rsid w:val="006022A0"/>
    <w:rsid w:val="00652B37"/>
    <w:rsid w:val="00655D8F"/>
    <w:rsid w:val="006626E2"/>
    <w:rsid w:val="006661A8"/>
    <w:rsid w:val="00695D2B"/>
    <w:rsid w:val="006A0A6B"/>
    <w:rsid w:val="006C5580"/>
    <w:rsid w:val="006D5060"/>
    <w:rsid w:val="006D67A9"/>
    <w:rsid w:val="006D76FB"/>
    <w:rsid w:val="006F3A97"/>
    <w:rsid w:val="00701736"/>
    <w:rsid w:val="00710908"/>
    <w:rsid w:val="00736F9A"/>
    <w:rsid w:val="00755CBB"/>
    <w:rsid w:val="007563FD"/>
    <w:rsid w:val="0075712C"/>
    <w:rsid w:val="0076476C"/>
    <w:rsid w:val="0076631B"/>
    <w:rsid w:val="00773038"/>
    <w:rsid w:val="007810CC"/>
    <w:rsid w:val="00783F8B"/>
    <w:rsid w:val="007903AD"/>
    <w:rsid w:val="00792666"/>
    <w:rsid w:val="0079492F"/>
    <w:rsid w:val="007A3E0D"/>
    <w:rsid w:val="007C3899"/>
    <w:rsid w:val="007F58E2"/>
    <w:rsid w:val="008022AC"/>
    <w:rsid w:val="00813F2D"/>
    <w:rsid w:val="0081734D"/>
    <w:rsid w:val="00817735"/>
    <w:rsid w:val="008247C2"/>
    <w:rsid w:val="0083551A"/>
    <w:rsid w:val="008413A5"/>
    <w:rsid w:val="00862BE7"/>
    <w:rsid w:val="008645C0"/>
    <w:rsid w:val="008662D5"/>
    <w:rsid w:val="008841F6"/>
    <w:rsid w:val="008A10D5"/>
    <w:rsid w:val="008A4AF1"/>
    <w:rsid w:val="008E3439"/>
    <w:rsid w:val="008E356E"/>
    <w:rsid w:val="008F19FF"/>
    <w:rsid w:val="00900B11"/>
    <w:rsid w:val="009060A9"/>
    <w:rsid w:val="00942927"/>
    <w:rsid w:val="00944D46"/>
    <w:rsid w:val="009541D1"/>
    <w:rsid w:val="00954CDF"/>
    <w:rsid w:val="009710FE"/>
    <w:rsid w:val="00971E34"/>
    <w:rsid w:val="009A7F29"/>
    <w:rsid w:val="009B76B2"/>
    <w:rsid w:val="009F53F8"/>
    <w:rsid w:val="00A11778"/>
    <w:rsid w:val="00A15C64"/>
    <w:rsid w:val="00A16CD4"/>
    <w:rsid w:val="00A21C67"/>
    <w:rsid w:val="00A23915"/>
    <w:rsid w:val="00A337E0"/>
    <w:rsid w:val="00A34FF8"/>
    <w:rsid w:val="00A55E2A"/>
    <w:rsid w:val="00A55E9E"/>
    <w:rsid w:val="00A56E7C"/>
    <w:rsid w:val="00A6619B"/>
    <w:rsid w:val="00A95C04"/>
    <w:rsid w:val="00AF58E6"/>
    <w:rsid w:val="00AF5EEB"/>
    <w:rsid w:val="00B0477D"/>
    <w:rsid w:val="00B16DC8"/>
    <w:rsid w:val="00B272E1"/>
    <w:rsid w:val="00B41429"/>
    <w:rsid w:val="00B70B16"/>
    <w:rsid w:val="00B80A2B"/>
    <w:rsid w:val="00B80C49"/>
    <w:rsid w:val="00B916DB"/>
    <w:rsid w:val="00B95DB0"/>
    <w:rsid w:val="00BA5B38"/>
    <w:rsid w:val="00BB5D30"/>
    <w:rsid w:val="00BD24AF"/>
    <w:rsid w:val="00BE7CB5"/>
    <w:rsid w:val="00BF525B"/>
    <w:rsid w:val="00C0028F"/>
    <w:rsid w:val="00C22697"/>
    <w:rsid w:val="00C34AD5"/>
    <w:rsid w:val="00C4708B"/>
    <w:rsid w:val="00C5469B"/>
    <w:rsid w:val="00C54CB8"/>
    <w:rsid w:val="00C617F6"/>
    <w:rsid w:val="00C75214"/>
    <w:rsid w:val="00CB1856"/>
    <w:rsid w:val="00CD42C7"/>
    <w:rsid w:val="00CD694B"/>
    <w:rsid w:val="00CF4649"/>
    <w:rsid w:val="00D2222D"/>
    <w:rsid w:val="00D51226"/>
    <w:rsid w:val="00D53F1E"/>
    <w:rsid w:val="00D6045D"/>
    <w:rsid w:val="00D611CD"/>
    <w:rsid w:val="00D91EA0"/>
    <w:rsid w:val="00DB7FF8"/>
    <w:rsid w:val="00DC7D39"/>
    <w:rsid w:val="00DD4455"/>
    <w:rsid w:val="00DD7A2A"/>
    <w:rsid w:val="00DE025F"/>
    <w:rsid w:val="00DE71CA"/>
    <w:rsid w:val="00DF1B25"/>
    <w:rsid w:val="00E00F2A"/>
    <w:rsid w:val="00E01264"/>
    <w:rsid w:val="00E1075B"/>
    <w:rsid w:val="00E17C7E"/>
    <w:rsid w:val="00E37546"/>
    <w:rsid w:val="00E401E2"/>
    <w:rsid w:val="00E44D91"/>
    <w:rsid w:val="00E57D64"/>
    <w:rsid w:val="00E70F85"/>
    <w:rsid w:val="00E76C97"/>
    <w:rsid w:val="00EB05F0"/>
    <w:rsid w:val="00ED5404"/>
    <w:rsid w:val="00EE0C3C"/>
    <w:rsid w:val="00EF3B2B"/>
    <w:rsid w:val="00EF5656"/>
    <w:rsid w:val="00F178C8"/>
    <w:rsid w:val="00F24410"/>
    <w:rsid w:val="00F36E9D"/>
    <w:rsid w:val="00F45F6F"/>
    <w:rsid w:val="00F523CF"/>
    <w:rsid w:val="00F62839"/>
    <w:rsid w:val="00F8654C"/>
    <w:rsid w:val="00F9743A"/>
    <w:rsid w:val="00F97C99"/>
    <w:rsid w:val="00FA70FC"/>
    <w:rsid w:val="00FC103D"/>
    <w:rsid w:val="00FC4729"/>
    <w:rsid w:val="00FD28CA"/>
    <w:rsid w:val="00FF7E18"/>
    <w:rsid w:val="00FF7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unhideWhenUsed/>
    <w:rsid w:val="00C5469B"/>
    <w:rPr>
      <w:sz w:val="16"/>
      <w:szCs w:val="16"/>
    </w:rPr>
  </w:style>
  <w:style w:type="paragraph" w:styleId="Commentaire">
    <w:name w:val="annotation text"/>
    <w:basedOn w:val="Normal"/>
    <w:link w:val="CommentaireCar"/>
    <w:uiPriority w:val="99"/>
    <w:unhideWhenUsed/>
    <w:rsid w:val="00C5469B"/>
  </w:style>
  <w:style w:type="character" w:customStyle="1" w:styleId="CommentaireCar">
    <w:name w:val="Commentaire Car"/>
    <w:basedOn w:val="Policepardfaut"/>
    <w:link w:val="Commentaire"/>
    <w:uiPriority w:val="99"/>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styleId="Titredulivre">
    <w:name w:val="Book Title"/>
    <w:basedOn w:val="Policepardfaut"/>
    <w:uiPriority w:val="33"/>
    <w:qFormat/>
    <w:rsid w:val="002E4C9F"/>
    <w:rPr>
      <w:b/>
      <w:bCs/>
      <w:i/>
      <w:iCs/>
      <w:spacing w:val="5"/>
    </w:rPr>
  </w:style>
  <w:style w:type="paragraph" w:customStyle="1" w:styleId="paragraph">
    <w:name w:val="paragraph"/>
    <w:basedOn w:val="Normal"/>
    <w:rsid w:val="000C5546"/>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0C5546"/>
  </w:style>
  <w:style w:type="character" w:customStyle="1" w:styleId="eop">
    <w:name w:val="eop"/>
    <w:basedOn w:val="Policepardfaut"/>
    <w:rsid w:val="000C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15904738">
      <w:bodyDiv w:val="1"/>
      <w:marLeft w:val="0"/>
      <w:marRight w:val="0"/>
      <w:marTop w:val="0"/>
      <w:marBottom w:val="0"/>
      <w:divBdr>
        <w:top w:val="none" w:sz="0" w:space="0" w:color="auto"/>
        <w:left w:val="none" w:sz="0" w:space="0" w:color="auto"/>
        <w:bottom w:val="none" w:sz="0" w:space="0" w:color="auto"/>
        <w:right w:val="none" w:sz="0" w:space="0" w:color="auto"/>
      </w:divBdr>
    </w:div>
    <w:div w:id="636565113">
      <w:bodyDiv w:val="1"/>
      <w:marLeft w:val="0"/>
      <w:marRight w:val="0"/>
      <w:marTop w:val="0"/>
      <w:marBottom w:val="0"/>
      <w:divBdr>
        <w:top w:val="none" w:sz="0" w:space="0" w:color="auto"/>
        <w:left w:val="none" w:sz="0" w:space="0" w:color="auto"/>
        <w:bottom w:val="none" w:sz="0" w:space="0" w:color="auto"/>
        <w:right w:val="none" w:sz="0" w:space="0" w:color="auto"/>
      </w:divBdr>
      <w:divsChild>
        <w:div w:id="1484587279">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aphael.dony@expertis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17C9-ABF9-4948-8F56-339D9426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2142</Words>
  <Characters>11785</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46</cp:revision>
  <cp:lastPrinted>2017-08-03T13:29:00Z</cp:lastPrinted>
  <dcterms:created xsi:type="dcterms:W3CDTF">2017-08-03T13:38:00Z</dcterms:created>
  <dcterms:modified xsi:type="dcterms:W3CDTF">2018-02-16T13:36:00Z</dcterms:modified>
</cp:coreProperties>
</file>